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EFF" w:rsidRDefault="00C91EFF">
      <w:pPr>
        <w:widowControl w:val="0"/>
        <w:jc w:val="both"/>
        <w:rPr>
          <w:rFonts w:ascii="NewsGotT" w:hAnsi="NewsGotT"/>
          <w:b/>
          <w:u w:val="single"/>
        </w:rPr>
      </w:pPr>
    </w:p>
    <w:p w:rsidR="00C91EFF" w:rsidRDefault="00B6428C">
      <w:pPr>
        <w:widowControl w:val="0"/>
        <w:jc w:val="center"/>
        <w:rPr>
          <w:rFonts w:ascii="Arial" w:hAnsi="Arial" w:cs="Arial"/>
          <w:b/>
          <w:sz w:val="20"/>
          <w:u w:val="single"/>
        </w:rPr>
      </w:pPr>
      <w:r>
        <w:rPr>
          <w:rFonts w:ascii="Arial" w:hAnsi="Arial" w:cs="Arial"/>
          <w:b/>
          <w:sz w:val="20"/>
          <w:u w:val="single"/>
        </w:rPr>
        <w:t>ANEXO II CUADRO RESUMEN</w:t>
      </w:r>
    </w:p>
    <w:p w:rsidR="00C91EFF" w:rsidRDefault="00C91EFF">
      <w:pPr>
        <w:widowControl w:val="0"/>
        <w:jc w:val="center"/>
        <w:rPr>
          <w:rFonts w:ascii="Arial" w:hAnsi="Arial" w:cs="Arial"/>
          <w:b/>
          <w:sz w:val="20"/>
          <w:u w:val="single"/>
        </w:rPr>
      </w:pPr>
    </w:p>
    <w:p w:rsidR="00C91EFF" w:rsidRDefault="00B6428C">
      <w:pPr>
        <w:widowControl w:val="0"/>
        <w:jc w:val="center"/>
        <w:rPr>
          <w:rFonts w:ascii="Arial" w:hAnsi="Arial" w:cs="Arial"/>
          <w:b/>
          <w:sz w:val="20"/>
          <w:u w:val="single"/>
        </w:rPr>
      </w:pPr>
      <w:r>
        <w:rPr>
          <w:rFonts w:ascii="Arial" w:hAnsi="Arial" w:cs="Arial"/>
          <w:b/>
          <w:sz w:val="20"/>
          <w:u w:val="single"/>
        </w:rPr>
        <w:t>Expediente 89/2020</w:t>
      </w:r>
    </w:p>
    <w:p w:rsidR="00C91EFF" w:rsidRDefault="00C91EFF">
      <w:pPr>
        <w:widowControl w:val="0"/>
        <w:jc w:val="center"/>
        <w:rPr>
          <w:rFonts w:ascii="Arial" w:hAnsi="Arial" w:cs="Arial"/>
          <w:b/>
          <w:sz w:val="20"/>
          <w:u w:val="single"/>
        </w:rPr>
      </w:pPr>
    </w:p>
    <w:p w:rsidR="00C91EFF" w:rsidRDefault="00B6428C">
      <w:pPr>
        <w:widowControl w:val="0"/>
        <w:jc w:val="center"/>
        <w:rPr>
          <w:rFonts w:ascii="Arial" w:hAnsi="Arial" w:cs="Arial"/>
          <w:b/>
          <w:sz w:val="20"/>
          <w:u w:val="single"/>
        </w:rPr>
      </w:pPr>
      <w:r>
        <w:rPr>
          <w:rFonts w:ascii="Arial" w:hAnsi="Arial" w:cs="Arial"/>
          <w:b/>
          <w:sz w:val="20"/>
          <w:u w:val="single"/>
        </w:rPr>
        <w:t>CRITERIOS DE ADJUDICACION</w:t>
      </w:r>
    </w:p>
    <w:p w:rsidR="00C91EFF" w:rsidRDefault="00C91EFF">
      <w:pPr>
        <w:widowControl w:val="0"/>
        <w:jc w:val="both"/>
        <w:rPr>
          <w:rFonts w:ascii="Arial" w:hAnsi="Arial" w:cs="Arial"/>
          <w:b/>
          <w:sz w:val="20"/>
          <w:u w:val="single"/>
        </w:rPr>
      </w:pPr>
    </w:p>
    <w:p w:rsidR="00C91EFF" w:rsidRDefault="00C91EFF">
      <w:pPr>
        <w:widowControl w:val="0"/>
        <w:jc w:val="both"/>
        <w:rPr>
          <w:rFonts w:ascii="Arial" w:hAnsi="Arial" w:cs="Arial"/>
          <w:b/>
          <w:sz w:val="20"/>
          <w:u w:val="single"/>
        </w:rPr>
      </w:pPr>
    </w:p>
    <w:p w:rsidR="00C91EFF" w:rsidRDefault="00C91EFF">
      <w:pPr>
        <w:widowControl w:val="0"/>
        <w:jc w:val="both"/>
        <w:rPr>
          <w:rFonts w:ascii="Arial" w:hAnsi="Arial" w:cs="Arial"/>
          <w:b/>
          <w:sz w:val="20"/>
          <w:u w:val="single"/>
        </w:rPr>
      </w:pPr>
    </w:p>
    <w:p w:rsidR="00C91EFF" w:rsidRDefault="00B6428C">
      <w:pPr>
        <w:widowControl w:val="0"/>
        <w:jc w:val="both"/>
        <w:rPr>
          <w:rFonts w:ascii="Arial" w:hAnsi="Arial" w:cs="Arial"/>
          <w:b/>
          <w:sz w:val="20"/>
          <w:u w:val="single"/>
        </w:rPr>
      </w:pPr>
      <w:r>
        <w:rPr>
          <w:rFonts w:ascii="Arial" w:hAnsi="Arial" w:cs="Arial"/>
          <w:b/>
          <w:sz w:val="20"/>
          <w:u w:val="single"/>
        </w:rPr>
        <w:t>OBJETO DEL EXPEDIENTE: “SERVICIO DE SEGURIDAD Y VIGILANCIA, SERVICIOS COMPLEMENTARIOS DE SEGURIDAD Y SERVICIO DE AUXILIARES EN LOS CENTROS ADSCRITOS A LA CENTRAL PROVINCIAL DE COMPRAS DE SEVILLA, MEDIANTE PROCEDIMIENTO ABIERTO Y TRAMITACION ELECTRÓNICA.</w:t>
      </w:r>
      <w:r>
        <w:rPr>
          <w:rFonts w:ascii="Arial" w:hAnsi="Arial" w:cs="Arial"/>
          <w:b/>
          <w:sz w:val="20"/>
        </w:rPr>
        <w:t>”</w:t>
      </w:r>
    </w:p>
    <w:p w:rsidR="00C91EFF" w:rsidRDefault="00C91EFF">
      <w:pPr>
        <w:widowControl w:val="0"/>
        <w:tabs>
          <w:tab w:val="left" w:pos="0"/>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ascii="Arial" w:hAnsi="Arial" w:cs="Arial"/>
          <w:bCs/>
          <w:sz w:val="20"/>
          <w:lang w:eastAsia="ar-SA"/>
        </w:rPr>
      </w:pPr>
    </w:p>
    <w:p w:rsidR="00C91EFF" w:rsidRDefault="00B6428C">
      <w:pPr>
        <w:widowControl w:val="0"/>
        <w:jc w:val="both"/>
        <w:textAlignment w:val="baseline"/>
        <w:rPr>
          <w:rFonts w:ascii="Calibri" w:hAnsi="Calibri"/>
          <w:kern w:val="2"/>
          <w:sz w:val="22"/>
          <w:szCs w:val="22"/>
        </w:rPr>
      </w:pPr>
      <w:r>
        <w:rPr>
          <w:rFonts w:ascii="Arial" w:eastAsia="Arial" w:hAnsi="Arial" w:cs="Arial"/>
          <w:kern w:val="2"/>
          <w:sz w:val="20"/>
        </w:rPr>
        <w:t xml:space="preserve">Para la valoración de las proposiciones y la determinación de la mejor oferta </w:t>
      </w:r>
      <w:proofErr w:type="gramStart"/>
      <w:r>
        <w:rPr>
          <w:rFonts w:ascii="Arial" w:eastAsia="Arial" w:hAnsi="Arial" w:cs="Arial"/>
          <w:kern w:val="2"/>
          <w:sz w:val="20"/>
        </w:rPr>
        <w:t>en relación a</w:t>
      </w:r>
      <w:proofErr w:type="gramEnd"/>
      <w:r>
        <w:rPr>
          <w:rFonts w:ascii="Arial" w:eastAsia="Arial" w:hAnsi="Arial" w:cs="Arial"/>
          <w:kern w:val="2"/>
          <w:sz w:val="20"/>
        </w:rPr>
        <w:t xml:space="preserve"> la calidad/precio se atenderá a criterios directamente vinculados al objeto del contrato, que se justifican en la Memoria del expediente.</w:t>
      </w:r>
    </w:p>
    <w:p w:rsidR="00C91EFF" w:rsidRDefault="00C91EFF">
      <w:pPr>
        <w:widowControl w:val="0"/>
        <w:ind w:right="-448"/>
        <w:jc w:val="both"/>
        <w:textAlignment w:val="baseline"/>
        <w:rPr>
          <w:rFonts w:ascii="Arial" w:eastAsia="Arial" w:hAnsi="Arial" w:cs="Arial"/>
          <w:kern w:val="2"/>
          <w:sz w:val="20"/>
        </w:rPr>
      </w:pPr>
    </w:p>
    <w:p w:rsidR="00C91EFF" w:rsidRDefault="00B6428C">
      <w:pPr>
        <w:widowControl w:val="0"/>
        <w:ind w:right="-448"/>
        <w:jc w:val="both"/>
        <w:textAlignment w:val="baseline"/>
        <w:rPr>
          <w:rFonts w:ascii="Arial" w:eastAsia="Arial" w:hAnsi="Arial" w:cs="Arial"/>
          <w:kern w:val="2"/>
          <w:sz w:val="20"/>
        </w:rPr>
      </w:pPr>
      <w:r>
        <w:rPr>
          <w:rFonts w:ascii="Arial" w:eastAsia="Arial" w:hAnsi="Arial" w:cs="Arial"/>
          <w:kern w:val="2"/>
          <w:sz w:val="20"/>
        </w:rPr>
        <w:t>Los criterios y ponderación de los mismos son:</w:t>
      </w:r>
    </w:p>
    <w:p w:rsidR="00282ED4" w:rsidRDefault="00282ED4">
      <w:pPr>
        <w:widowControl w:val="0"/>
        <w:ind w:right="-448"/>
        <w:jc w:val="both"/>
        <w:textAlignment w:val="baseline"/>
        <w:rPr>
          <w:rFonts w:ascii="Calibri" w:hAnsi="Calibri"/>
          <w:kern w:val="2"/>
          <w:sz w:val="22"/>
          <w:szCs w:val="22"/>
        </w:rPr>
      </w:pPr>
    </w:p>
    <w:p w:rsidR="00C91EFF" w:rsidRDefault="00B6428C">
      <w:pPr>
        <w:spacing w:before="120" w:after="120" w:line="276" w:lineRule="auto"/>
        <w:ind w:right="-285"/>
        <w:jc w:val="both"/>
        <w:textAlignment w:val="baseline"/>
        <w:rPr>
          <w:rFonts w:ascii="Arial" w:eastAsia="Calibri" w:hAnsi="Arial" w:cs="Arial"/>
          <w:b/>
          <w:sz w:val="20"/>
          <w:lang w:eastAsia="en-US"/>
        </w:rPr>
      </w:pPr>
      <w:r>
        <w:rPr>
          <w:rFonts w:ascii="Arial" w:eastAsia="Calibri" w:hAnsi="Arial" w:cs="Arial"/>
          <w:b/>
          <w:sz w:val="20"/>
          <w:lang w:eastAsia="en-US"/>
        </w:rPr>
        <w:t xml:space="preserve">1. CRITERIO ECONOMICO:  </w:t>
      </w:r>
    </w:p>
    <w:p w:rsidR="00C91EFF" w:rsidRDefault="00B6428C">
      <w:pPr>
        <w:spacing w:before="120" w:after="120" w:line="276" w:lineRule="auto"/>
        <w:ind w:right="-285"/>
        <w:jc w:val="both"/>
        <w:textAlignment w:val="baseline"/>
        <w:rPr>
          <w:rFonts w:ascii="Calibri" w:hAnsi="Calibri"/>
          <w:kern w:val="2"/>
          <w:sz w:val="22"/>
          <w:szCs w:val="22"/>
        </w:rPr>
      </w:pPr>
      <w:r>
        <w:rPr>
          <w:rFonts w:ascii="Arial" w:eastAsia="Calibri" w:hAnsi="Arial" w:cs="Arial"/>
          <w:b/>
          <w:sz w:val="20"/>
          <w:lang w:eastAsia="en-US"/>
        </w:rPr>
        <w:t>Á</w:t>
      </w:r>
      <w:r>
        <w:rPr>
          <w:rFonts w:ascii="Arial" w:eastAsia="Calibri" w:hAnsi="Arial" w:cs="Arial"/>
          <w:b/>
          <w:kern w:val="2"/>
          <w:sz w:val="20"/>
        </w:rPr>
        <w:t xml:space="preserve">rea de valor del precio: </w:t>
      </w:r>
      <w:r>
        <w:rPr>
          <w:rFonts w:ascii="Arial" w:eastAsia="Calibri" w:hAnsi="Arial" w:cs="Arial"/>
          <w:b/>
          <w:kern w:val="2"/>
          <w:sz w:val="20"/>
          <w:u w:val="single"/>
        </w:rPr>
        <w:t>(TODOS LOS LOTES)</w:t>
      </w:r>
      <w:r>
        <w:rPr>
          <w:rFonts w:ascii="Arial" w:eastAsia="Calibri" w:hAnsi="Arial" w:cs="Arial"/>
          <w:b/>
          <w:kern w:val="2"/>
          <w:sz w:val="20"/>
        </w:rPr>
        <w:t xml:space="preserve">  </w:t>
      </w:r>
    </w:p>
    <w:p w:rsidR="00C91EFF" w:rsidRDefault="00B6428C">
      <w:pPr>
        <w:widowControl w:val="0"/>
        <w:tabs>
          <w:tab w:val="left" w:pos="0"/>
          <w:tab w:val="left" w:pos="720"/>
          <w:tab w:val="left" w:pos="2160"/>
          <w:tab w:val="left" w:pos="2880"/>
          <w:tab w:val="left" w:pos="3600"/>
          <w:tab w:val="left" w:pos="4320"/>
          <w:tab w:val="left" w:pos="5040"/>
          <w:tab w:val="left" w:pos="5760"/>
          <w:tab w:val="left" w:pos="6480"/>
          <w:tab w:val="left" w:pos="7200"/>
          <w:tab w:val="left" w:pos="9360"/>
        </w:tabs>
        <w:spacing w:before="120" w:after="120" w:line="276" w:lineRule="auto"/>
        <w:ind w:right="-285"/>
        <w:jc w:val="both"/>
        <w:textAlignment w:val="baseline"/>
        <w:rPr>
          <w:rFonts w:ascii="Arial" w:eastAsia="Calibri" w:hAnsi="Arial" w:cs="Arial"/>
          <w:kern w:val="2"/>
          <w:sz w:val="20"/>
        </w:rPr>
      </w:pPr>
      <w:r>
        <w:rPr>
          <w:rFonts w:ascii="Arial" w:eastAsia="Calibri" w:hAnsi="Arial" w:cs="Arial"/>
          <w:kern w:val="2"/>
          <w:sz w:val="20"/>
        </w:rPr>
        <w:t>AUTOMÁTICO.</w:t>
      </w:r>
    </w:p>
    <w:p w:rsidR="00C91EFF" w:rsidRDefault="00B6428C">
      <w:pPr>
        <w:widowControl w:val="0"/>
        <w:tabs>
          <w:tab w:val="left" w:pos="0"/>
          <w:tab w:val="left" w:pos="720"/>
          <w:tab w:val="left" w:pos="2160"/>
          <w:tab w:val="left" w:pos="2880"/>
          <w:tab w:val="left" w:pos="3600"/>
          <w:tab w:val="left" w:pos="4320"/>
          <w:tab w:val="left" w:pos="5040"/>
          <w:tab w:val="left" w:pos="5760"/>
          <w:tab w:val="left" w:pos="6480"/>
          <w:tab w:val="left" w:pos="7200"/>
          <w:tab w:val="left" w:pos="9360"/>
        </w:tabs>
        <w:spacing w:before="120" w:after="120" w:line="276" w:lineRule="auto"/>
        <w:ind w:right="-285"/>
        <w:jc w:val="both"/>
        <w:textAlignment w:val="baseline"/>
        <w:rPr>
          <w:rFonts w:ascii="Calibri" w:hAnsi="Calibri"/>
          <w:kern w:val="2"/>
          <w:sz w:val="22"/>
          <w:szCs w:val="22"/>
        </w:rPr>
      </w:pPr>
      <w:r>
        <w:rPr>
          <w:rFonts w:ascii="Arial" w:eastAsia="Calibri" w:hAnsi="Arial" w:cs="Arial"/>
          <w:b/>
          <w:kern w:val="2"/>
          <w:sz w:val="20"/>
          <w:u w:val="single"/>
        </w:rPr>
        <w:t>Puntuación máxima del criterio:  49 puntos</w:t>
      </w:r>
    </w:p>
    <w:p w:rsidR="00C91EFF" w:rsidRDefault="00B6428C">
      <w:pPr>
        <w:spacing w:after="160"/>
        <w:textAlignment w:val="baseline"/>
        <w:rPr>
          <w:rFonts w:ascii="Arial" w:eastAsia="Calibri" w:hAnsi="Arial" w:cs="Arial"/>
          <w:sz w:val="20"/>
          <w:lang w:eastAsia="en-US"/>
        </w:rPr>
      </w:pPr>
      <w:r>
        <w:rPr>
          <w:rFonts w:ascii="Arial" w:eastAsia="Calibri" w:hAnsi="Arial" w:cs="Arial"/>
          <w:sz w:val="20"/>
          <w:lang w:eastAsia="en-US"/>
        </w:rPr>
        <w:t>Se asignará el máximo de puntuación a la oferta de precio inferior con respecto al precio de licitación, asignándose la puntuación al resto de las ofertas mediante proporcionalidad inversa.</w:t>
      </w:r>
    </w:p>
    <w:p w:rsidR="00C91EFF" w:rsidRDefault="00C91EFF">
      <w:pPr>
        <w:spacing w:after="160"/>
        <w:textAlignment w:val="baseline"/>
        <w:rPr>
          <w:rFonts w:ascii="Arial" w:eastAsia="Calibri" w:hAnsi="Arial" w:cs="Arial"/>
          <w:sz w:val="20"/>
          <w:lang w:eastAsia="en-US"/>
        </w:rPr>
      </w:pPr>
    </w:p>
    <w:p w:rsidR="00C91EFF" w:rsidRDefault="00B6428C">
      <w:pPr>
        <w:spacing w:after="160"/>
        <w:jc w:val="center"/>
        <w:textAlignment w:val="baseline"/>
        <w:rPr>
          <w:rFonts w:ascii="Arial" w:eastAsia="Calibri" w:hAnsi="Arial" w:cs="Arial"/>
          <w:sz w:val="20"/>
          <w:lang w:eastAsia="en-US"/>
        </w:rPr>
      </w:pPr>
      <w:r>
        <w:rPr>
          <w:rFonts w:ascii="Arial" w:eastAsia="Calibri" w:hAnsi="Arial" w:cs="Arial"/>
          <w:sz w:val="20"/>
          <w:lang w:eastAsia="en-US"/>
        </w:rPr>
        <w:t>Puntuación de la oferta del licitador = Mejor oferta (precio más bajo) * 49 / Oferta del licitador</w:t>
      </w:r>
    </w:p>
    <w:p w:rsidR="00C91EFF" w:rsidRDefault="00C91EFF">
      <w:pPr>
        <w:spacing w:after="160"/>
        <w:textAlignment w:val="baseline"/>
        <w:rPr>
          <w:rFonts w:ascii="Arial" w:eastAsia="Calibri" w:hAnsi="Arial" w:cs="Arial"/>
          <w:sz w:val="20"/>
          <w:lang w:eastAsia="en-US"/>
        </w:rPr>
      </w:pPr>
    </w:p>
    <w:p w:rsidR="00C91EFF" w:rsidRDefault="00B6428C">
      <w:pPr>
        <w:spacing w:after="160"/>
        <w:textAlignment w:val="baseline"/>
        <w:rPr>
          <w:rFonts w:ascii="Arial" w:eastAsia="Calibri" w:hAnsi="Arial" w:cs="Arial"/>
          <w:b/>
          <w:sz w:val="20"/>
          <w:lang w:eastAsia="en-US"/>
        </w:rPr>
      </w:pPr>
      <w:r>
        <w:rPr>
          <w:rFonts w:ascii="Arial" w:eastAsia="Calibri" w:hAnsi="Arial" w:cs="Arial"/>
          <w:b/>
          <w:sz w:val="20"/>
          <w:lang w:eastAsia="en-US"/>
        </w:rPr>
        <w:t>2. CRITERIOS CUALITATIVOS:</w:t>
      </w:r>
    </w:p>
    <w:p w:rsidR="00C91EFF" w:rsidRDefault="00B6428C">
      <w:pPr>
        <w:spacing w:after="160"/>
        <w:textAlignment w:val="baseline"/>
        <w:rPr>
          <w:rFonts w:ascii="Calibri" w:hAnsi="Calibri"/>
          <w:kern w:val="2"/>
          <w:sz w:val="22"/>
          <w:szCs w:val="22"/>
        </w:rPr>
      </w:pPr>
      <w:r>
        <w:rPr>
          <w:rFonts w:ascii="Arial" w:eastAsia="Calibri" w:hAnsi="Arial" w:cs="Arial"/>
          <w:b/>
          <w:sz w:val="20"/>
          <w:lang w:eastAsia="en-US"/>
        </w:rPr>
        <w:t xml:space="preserve">2.1.- Aportación de medidas de seguridad adicionales a las existentes en los Centros: </w:t>
      </w:r>
      <w:bookmarkStart w:id="0" w:name="_Hlk54522971"/>
      <w:r>
        <w:rPr>
          <w:rFonts w:ascii="Arial" w:eastAsia="Calibri" w:hAnsi="Arial" w:cs="Arial"/>
          <w:b/>
          <w:sz w:val="20"/>
          <w:u w:val="single"/>
          <w:lang w:eastAsia="en-US"/>
        </w:rPr>
        <w:t>(TODOS LOS LOTES)</w:t>
      </w:r>
      <w:bookmarkEnd w:id="0"/>
    </w:p>
    <w:p w:rsidR="00C91EFF" w:rsidRDefault="00B6428C">
      <w:pPr>
        <w:spacing w:after="160"/>
        <w:textAlignment w:val="baseline"/>
        <w:rPr>
          <w:rFonts w:ascii="Arial" w:eastAsia="Calibri" w:hAnsi="Arial" w:cs="Arial"/>
          <w:sz w:val="20"/>
          <w:lang w:eastAsia="en-US"/>
        </w:rPr>
      </w:pPr>
      <w:r>
        <w:rPr>
          <w:rFonts w:ascii="Arial" w:eastAsia="Calibri" w:hAnsi="Arial" w:cs="Arial"/>
          <w:sz w:val="20"/>
          <w:lang w:eastAsia="en-US"/>
        </w:rPr>
        <w:t>AUTOMÁTICO</w:t>
      </w:r>
    </w:p>
    <w:p w:rsidR="00C91EFF" w:rsidRDefault="00B6428C">
      <w:pPr>
        <w:spacing w:after="160"/>
        <w:textAlignment w:val="baseline"/>
        <w:rPr>
          <w:rFonts w:ascii="Calibri" w:hAnsi="Calibri"/>
          <w:kern w:val="2"/>
          <w:sz w:val="22"/>
          <w:szCs w:val="22"/>
        </w:rPr>
      </w:pPr>
      <w:r>
        <w:rPr>
          <w:rFonts w:ascii="Arial" w:eastAsia="Calibri" w:hAnsi="Arial" w:cs="Arial"/>
          <w:b/>
          <w:sz w:val="20"/>
          <w:u w:val="single"/>
          <w:lang w:eastAsia="en-US"/>
        </w:rPr>
        <w:t>Puntuación máxima del criterio: 28 puntos</w:t>
      </w:r>
    </w:p>
    <w:p w:rsidR="00C91EFF" w:rsidRDefault="00B6428C">
      <w:pPr>
        <w:jc w:val="both"/>
        <w:rPr>
          <w:rFonts w:ascii="Arial" w:eastAsia="Calibri" w:hAnsi="Arial" w:cs="Arial"/>
          <w:sz w:val="20"/>
          <w:lang w:eastAsia="en-US"/>
        </w:rPr>
      </w:pPr>
      <w:r>
        <w:rPr>
          <w:rFonts w:ascii="Arial" w:eastAsia="Calibri" w:hAnsi="Arial" w:cs="Arial"/>
          <w:sz w:val="20"/>
          <w:lang w:eastAsia="en-US"/>
        </w:rPr>
        <w:t>Se valorarán los elementos de seguridad que se compromete el licitador a aportar en caso de resultar adjudicatario.</w:t>
      </w:r>
    </w:p>
    <w:p w:rsidR="00C91EFF" w:rsidRDefault="00C91EFF">
      <w:pPr>
        <w:jc w:val="both"/>
        <w:rPr>
          <w:rFonts w:ascii="Arial" w:eastAsia="Calibri" w:hAnsi="Arial" w:cs="Arial"/>
          <w:sz w:val="20"/>
          <w:lang w:eastAsia="en-US"/>
        </w:rPr>
      </w:pPr>
    </w:p>
    <w:p w:rsidR="00C91EFF" w:rsidRDefault="00B6428C">
      <w:pPr>
        <w:jc w:val="both"/>
        <w:rPr>
          <w:rFonts w:ascii="Arial" w:eastAsia="Calibri" w:hAnsi="Arial" w:cs="Arial"/>
          <w:sz w:val="20"/>
          <w:lang w:eastAsia="en-US"/>
        </w:rPr>
      </w:pPr>
      <w:r>
        <w:rPr>
          <w:rFonts w:ascii="Arial" w:eastAsia="Calibri" w:hAnsi="Arial" w:cs="Arial"/>
          <w:sz w:val="20"/>
          <w:lang w:eastAsia="en-US"/>
        </w:rPr>
        <w:t>Los elementos llevarán incluido documentación y tramitación administrativa y legal necesaria, suministro, instalación, cableado, programación, conexión a central, puesta en funcionamiento y mantenimiento durante toda la vigencia del contrato en las condiciones definidas en el Pliego de Prescripciones Técnicas para los elementos de seguridad.</w:t>
      </w:r>
    </w:p>
    <w:p w:rsidR="00C91EFF" w:rsidRDefault="00C91EFF">
      <w:pPr>
        <w:jc w:val="both"/>
        <w:rPr>
          <w:rFonts w:ascii="Arial" w:eastAsia="Calibri" w:hAnsi="Arial" w:cs="Arial"/>
          <w:sz w:val="20"/>
          <w:lang w:eastAsia="en-US"/>
        </w:rPr>
      </w:pPr>
    </w:p>
    <w:p w:rsidR="00C91EFF" w:rsidRDefault="00B6428C">
      <w:pPr>
        <w:jc w:val="both"/>
        <w:rPr>
          <w:rFonts w:ascii="Arial" w:eastAsia="Calibri" w:hAnsi="Arial" w:cs="Arial"/>
          <w:sz w:val="20"/>
          <w:lang w:eastAsia="en-US"/>
        </w:rPr>
      </w:pPr>
      <w:r>
        <w:rPr>
          <w:rFonts w:ascii="Arial" w:eastAsia="Calibri" w:hAnsi="Arial" w:cs="Arial"/>
          <w:sz w:val="20"/>
          <w:lang w:eastAsia="en-US"/>
        </w:rPr>
        <w:t>Una vez realizada la puesta en marcha de los elementos de seguridad, serán propiedad del Órgano Gestor.</w:t>
      </w:r>
    </w:p>
    <w:p w:rsidR="00C91EFF" w:rsidRDefault="00C91EFF">
      <w:pPr>
        <w:jc w:val="both"/>
        <w:rPr>
          <w:rFonts w:ascii="Arial" w:eastAsia="Calibri" w:hAnsi="Arial" w:cs="Arial"/>
          <w:sz w:val="20"/>
          <w:lang w:eastAsia="en-US"/>
        </w:rPr>
      </w:pPr>
    </w:p>
    <w:p w:rsidR="00C91EFF" w:rsidRDefault="00B6428C">
      <w:pPr>
        <w:jc w:val="both"/>
        <w:rPr>
          <w:rFonts w:ascii="Arial" w:eastAsia="Calibri" w:hAnsi="Arial" w:cs="Arial"/>
          <w:sz w:val="20"/>
          <w:lang w:eastAsia="en-US"/>
        </w:rPr>
      </w:pPr>
      <w:r>
        <w:rPr>
          <w:rFonts w:ascii="Arial" w:eastAsia="Calibri" w:hAnsi="Arial" w:cs="Arial"/>
          <w:sz w:val="20"/>
          <w:lang w:eastAsia="en-US"/>
        </w:rPr>
        <w:t>La valoración de los elementos de seguridad se realizará en base a la siguiente tabla:</w:t>
      </w:r>
    </w:p>
    <w:p w:rsidR="00C91EFF" w:rsidRDefault="00C91EFF">
      <w:pPr>
        <w:jc w:val="both"/>
        <w:rPr>
          <w:rFonts w:ascii="Arial" w:eastAsia="Calibri" w:hAnsi="Arial" w:cs="Arial"/>
          <w:sz w:val="20"/>
          <w:lang w:eastAsia="en-US"/>
        </w:rPr>
      </w:pPr>
    </w:p>
    <w:p w:rsidR="00C91EFF" w:rsidRDefault="00C91EFF">
      <w:pPr>
        <w:jc w:val="both"/>
        <w:rPr>
          <w:rFonts w:ascii="Arial" w:eastAsia="Calibri" w:hAnsi="Arial" w:cs="Arial"/>
          <w:sz w:val="20"/>
          <w:lang w:eastAsia="en-US"/>
        </w:rPr>
      </w:pPr>
    </w:p>
    <w:p w:rsidR="00C91EFF" w:rsidRDefault="00C91EFF">
      <w:pPr>
        <w:jc w:val="both"/>
        <w:rPr>
          <w:rFonts w:ascii="Arial" w:eastAsia="Calibri" w:hAnsi="Arial" w:cs="Arial"/>
          <w:sz w:val="20"/>
          <w:lang w:eastAsia="en-US"/>
        </w:rPr>
      </w:pPr>
    </w:p>
    <w:tbl>
      <w:tblPr>
        <w:tblW w:w="6630" w:type="dxa"/>
        <w:jc w:val="center"/>
        <w:tblLayout w:type="fixed"/>
        <w:tblCellMar>
          <w:left w:w="70" w:type="dxa"/>
          <w:right w:w="70" w:type="dxa"/>
        </w:tblCellMar>
        <w:tblLook w:val="0000" w:firstRow="0" w:lastRow="0" w:firstColumn="0" w:lastColumn="0" w:noHBand="0" w:noVBand="0"/>
      </w:tblPr>
      <w:tblGrid>
        <w:gridCol w:w="3270"/>
        <w:gridCol w:w="1020"/>
        <w:gridCol w:w="1215"/>
        <w:gridCol w:w="1125"/>
      </w:tblGrid>
      <w:tr w:rsidR="00C91EFF">
        <w:trPr>
          <w:trHeight w:val="1470"/>
          <w:jc w:val="center"/>
        </w:trPr>
        <w:tc>
          <w:tcPr>
            <w:tcW w:w="32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b/>
                <w:bCs/>
                <w:color w:val="000000"/>
                <w:sz w:val="18"/>
                <w:szCs w:val="18"/>
              </w:rPr>
            </w:pPr>
          </w:p>
          <w:p w:rsidR="00C91EFF" w:rsidRDefault="00B6428C">
            <w:pPr>
              <w:widowControl w:val="0"/>
              <w:jc w:val="center"/>
            </w:pPr>
            <w:r>
              <w:rPr>
                <w:rFonts w:ascii="Arial" w:hAnsi="Arial" w:cs="Arial"/>
                <w:b/>
                <w:bCs/>
                <w:color w:val="000000"/>
                <w:sz w:val="18"/>
                <w:szCs w:val="18"/>
              </w:rPr>
              <w:t>Elemento de seguridad</w:t>
            </w:r>
          </w:p>
          <w:p w:rsidR="00C91EFF" w:rsidRDefault="00C91EFF">
            <w:pPr>
              <w:widowControl w:val="0"/>
              <w:jc w:val="center"/>
              <w:rPr>
                <w:rFonts w:ascii="Arial" w:hAnsi="Arial" w:cs="Arial"/>
                <w:b/>
                <w:bCs/>
                <w:color w:val="000000"/>
                <w:sz w:val="18"/>
                <w:szCs w:val="18"/>
              </w:rPr>
            </w:pPr>
          </w:p>
        </w:tc>
        <w:tc>
          <w:tcPr>
            <w:tcW w:w="1020" w:type="dxa"/>
            <w:tcBorders>
              <w:top w:val="single" w:sz="4" w:space="0" w:color="000000"/>
              <w:bottom w:val="single" w:sz="4" w:space="0" w:color="000000"/>
              <w:right w:val="single" w:sz="4" w:space="0" w:color="000000"/>
            </w:tcBorders>
            <w:shd w:val="clear" w:color="auto" w:fill="auto"/>
            <w:vAlign w:val="bottom"/>
          </w:tcPr>
          <w:p w:rsidR="00C91EFF" w:rsidRDefault="00B6428C">
            <w:pPr>
              <w:widowControl w:val="0"/>
              <w:jc w:val="center"/>
            </w:pPr>
            <w:r>
              <w:rPr>
                <w:rFonts w:ascii="Arial" w:hAnsi="Arial" w:cs="Arial"/>
                <w:b/>
                <w:bCs/>
                <w:color w:val="000000"/>
                <w:sz w:val="18"/>
                <w:szCs w:val="18"/>
              </w:rPr>
              <w:t>Número equipos</w:t>
            </w:r>
          </w:p>
          <w:p w:rsidR="00C91EFF" w:rsidRDefault="00B6428C">
            <w:pPr>
              <w:widowControl w:val="0"/>
              <w:jc w:val="center"/>
            </w:pPr>
            <w:r>
              <w:rPr>
                <w:rFonts w:ascii="Arial" w:hAnsi="Arial" w:cs="Arial"/>
                <w:b/>
                <w:bCs/>
                <w:color w:val="000000"/>
                <w:sz w:val="18"/>
                <w:szCs w:val="18"/>
              </w:rPr>
              <w:t>ofertados</w:t>
            </w:r>
          </w:p>
        </w:tc>
        <w:tc>
          <w:tcPr>
            <w:tcW w:w="1215" w:type="dxa"/>
            <w:tcBorders>
              <w:top w:val="single" w:sz="4" w:space="0" w:color="000000"/>
              <w:bottom w:val="single" w:sz="4" w:space="0" w:color="000000"/>
              <w:right w:val="single" w:sz="4" w:space="0" w:color="000000"/>
            </w:tcBorders>
            <w:shd w:val="clear" w:color="auto" w:fill="auto"/>
            <w:vAlign w:val="bottom"/>
          </w:tcPr>
          <w:p w:rsidR="00C91EFF" w:rsidRDefault="00B6428C">
            <w:pPr>
              <w:widowControl w:val="0"/>
              <w:jc w:val="center"/>
            </w:pPr>
            <w:r>
              <w:rPr>
                <w:rFonts w:ascii="Arial" w:hAnsi="Arial" w:cs="Arial"/>
                <w:b/>
                <w:bCs/>
                <w:color w:val="000000"/>
                <w:sz w:val="18"/>
                <w:szCs w:val="18"/>
              </w:rPr>
              <w:t>Unidad de</w:t>
            </w:r>
          </w:p>
          <w:p w:rsidR="00C91EFF" w:rsidRDefault="00B6428C">
            <w:pPr>
              <w:widowControl w:val="0"/>
              <w:jc w:val="center"/>
            </w:pPr>
            <w:r>
              <w:rPr>
                <w:rFonts w:ascii="Arial" w:hAnsi="Arial" w:cs="Arial"/>
                <w:b/>
                <w:bCs/>
                <w:color w:val="000000"/>
                <w:sz w:val="18"/>
                <w:szCs w:val="18"/>
              </w:rPr>
              <w:t xml:space="preserve"> valoración</w:t>
            </w:r>
          </w:p>
        </w:tc>
        <w:tc>
          <w:tcPr>
            <w:tcW w:w="1125" w:type="dxa"/>
            <w:tcBorders>
              <w:top w:val="single" w:sz="4" w:space="0" w:color="000000"/>
              <w:bottom w:val="single" w:sz="4" w:space="0" w:color="000000"/>
              <w:right w:val="single" w:sz="4" w:space="0" w:color="000000"/>
            </w:tcBorders>
            <w:shd w:val="clear" w:color="auto" w:fill="auto"/>
            <w:vAlign w:val="bottom"/>
          </w:tcPr>
          <w:p w:rsidR="00C91EFF" w:rsidRDefault="00B6428C">
            <w:pPr>
              <w:widowControl w:val="0"/>
              <w:jc w:val="center"/>
            </w:pPr>
            <w:r>
              <w:rPr>
                <w:rFonts w:ascii="Arial" w:hAnsi="Arial" w:cs="Arial"/>
                <w:b/>
                <w:bCs/>
                <w:color w:val="000000"/>
                <w:sz w:val="18"/>
                <w:szCs w:val="18"/>
              </w:rPr>
              <w:t>Subtotal unidades</w:t>
            </w:r>
          </w:p>
        </w:tc>
      </w:tr>
      <w:tr w:rsidR="00C91EFF">
        <w:trPr>
          <w:trHeight w:val="1305"/>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CONTACTOS MAGNÉTICOS PARA PUERTAS, de alta potencia, protegido contra sabotaje por campo magnético, grado de seguridad 3.</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ind w:right="95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0,7</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795"/>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DETECTOR DE MOVIMIENTO, de doble tecnología, grado de seguridad 3.</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0,5</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70"/>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PULSADORES ANTIPÁNICO VÍA RADIO</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0,7</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614"/>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MÓDULO VÍA RADIO PARA PULSADORES ANTIPÁNICO</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0,9</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CENTRAL ANTI-INTRUSIÓN, grado de seguridad 3, 16 zonas, cableada, con batería.</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5,5</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CENTRAL ANTI-INTRUSIÓN, grado de seguridad 3, 48 zonas, cableada, con batería.</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9,0</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443"/>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MONITOR DE 32”</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2,0</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35"/>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VIDEOGRABADOR DIGITAL, mínimo 16 canales, capacidad mínima del disco duro 2 TB.</w:t>
            </w:r>
          </w:p>
          <w:p w:rsidR="00C91EFF" w:rsidRDefault="00C91EFF">
            <w:pPr>
              <w:widowControl w:val="0"/>
              <w:jc w:val="center"/>
              <w:rPr>
                <w:rFonts w:ascii="Arial" w:hAnsi="Arial" w:cs="Arial"/>
                <w:color w:val="000000"/>
                <w:sz w:val="18"/>
                <w:szCs w:val="18"/>
              </w:rPr>
            </w:pP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2,3</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1382"/>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 xml:space="preserve">CÁMARA INTERIOR IP DE VIGILANCIA, antivandálica, alta resolución, óptica </w:t>
            </w:r>
            <w:proofErr w:type="spellStart"/>
            <w:r>
              <w:rPr>
                <w:rFonts w:ascii="Arial" w:hAnsi="Arial" w:cs="Arial"/>
                <w:color w:val="000000"/>
                <w:sz w:val="18"/>
                <w:szCs w:val="18"/>
              </w:rPr>
              <w:t>varifocal</w:t>
            </w:r>
            <w:proofErr w:type="spellEnd"/>
            <w:r>
              <w:rPr>
                <w:rFonts w:ascii="Arial" w:hAnsi="Arial" w:cs="Arial"/>
                <w:color w:val="000000"/>
                <w:sz w:val="18"/>
                <w:szCs w:val="18"/>
              </w:rPr>
              <w:t xml:space="preserve"> con </w:t>
            </w:r>
            <w:proofErr w:type="gramStart"/>
            <w:r>
              <w:rPr>
                <w:rFonts w:ascii="Arial" w:hAnsi="Arial" w:cs="Arial"/>
                <w:color w:val="000000"/>
                <w:sz w:val="18"/>
                <w:szCs w:val="18"/>
              </w:rPr>
              <w:t>zoom</w:t>
            </w:r>
            <w:proofErr w:type="gramEnd"/>
            <w:r>
              <w:rPr>
                <w:rFonts w:ascii="Arial" w:hAnsi="Arial" w:cs="Arial"/>
                <w:color w:val="000000"/>
                <w:sz w:val="18"/>
                <w:szCs w:val="18"/>
              </w:rPr>
              <w:t xml:space="preserve"> y enfoque motorizado de 2,7 – 12 </w:t>
            </w:r>
            <w:proofErr w:type="spellStart"/>
            <w:r>
              <w:rPr>
                <w:rFonts w:ascii="Arial" w:hAnsi="Arial" w:cs="Arial"/>
                <w:color w:val="000000"/>
                <w:sz w:val="18"/>
                <w:szCs w:val="18"/>
              </w:rPr>
              <w:t>mm.</w:t>
            </w:r>
            <w:proofErr w:type="spellEnd"/>
            <w:r>
              <w:rPr>
                <w:rFonts w:ascii="Arial" w:hAnsi="Arial" w:cs="Arial"/>
                <w:color w:val="000000"/>
                <w:sz w:val="18"/>
                <w:szCs w:val="18"/>
              </w:rPr>
              <w:t>, conmutación día-noche con filtro ICR.</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3,8</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CÁMARA INTERIOR IP DE VIGILANCIA, antivandálica, alta resolución, gran angular, óptica fija, conmutación día-noche con filtro ICR.</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1,2</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 xml:space="preserve">CÁMARA EXTERIOR IP MOTORIZADA DE VIGILANCIA, antivandálica, alta resolución, óptica </w:t>
            </w:r>
            <w:proofErr w:type="spellStart"/>
            <w:r>
              <w:rPr>
                <w:rFonts w:ascii="Arial" w:hAnsi="Arial" w:cs="Arial"/>
                <w:color w:val="000000"/>
                <w:sz w:val="18"/>
                <w:szCs w:val="18"/>
              </w:rPr>
              <w:t>varifocal</w:t>
            </w:r>
            <w:proofErr w:type="spellEnd"/>
            <w:r>
              <w:rPr>
                <w:rFonts w:ascii="Arial" w:hAnsi="Arial" w:cs="Arial"/>
                <w:color w:val="000000"/>
                <w:sz w:val="18"/>
                <w:szCs w:val="18"/>
              </w:rPr>
              <w:t xml:space="preserve"> con </w:t>
            </w:r>
            <w:proofErr w:type="gramStart"/>
            <w:r>
              <w:rPr>
                <w:rFonts w:ascii="Arial" w:hAnsi="Arial" w:cs="Arial"/>
                <w:color w:val="000000"/>
                <w:sz w:val="18"/>
                <w:szCs w:val="18"/>
              </w:rPr>
              <w:t>zoom</w:t>
            </w:r>
            <w:proofErr w:type="gramEnd"/>
            <w:r>
              <w:rPr>
                <w:rFonts w:ascii="Arial" w:hAnsi="Arial" w:cs="Arial"/>
                <w:color w:val="000000"/>
                <w:sz w:val="18"/>
                <w:szCs w:val="18"/>
              </w:rPr>
              <w:t xml:space="preserve"> y enfoque motorizado, conmutación día-noche con filtro ICR</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11,0</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CÁMARA EXTERIOR IP FIJA DE VIGILANCIA, antivandálica, alta resolución, óptica fija.</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5,0</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855"/>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LECTOR DE TARJETAS DE PROXIMIDAD (compatibles con el software de gestión de control de accesos del Centro)</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0,7</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PLACA/CONTROLADOR DE GAMA ALTA para el control de accesos e integración de señales (mínimo conexión de 2 lectores)</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10,0</w:t>
            </w:r>
          </w:p>
        </w:tc>
        <w:tc>
          <w:tcPr>
            <w:tcW w:w="1125"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567"/>
          <w:jc w:val="center"/>
        </w:trPr>
        <w:tc>
          <w:tcPr>
            <w:tcW w:w="3270" w:type="dxa"/>
            <w:tcBorders>
              <w:left w:val="single" w:sz="4" w:space="0" w:color="000000"/>
              <w:bottom w:val="single" w:sz="4" w:space="0" w:color="000000"/>
              <w:right w:val="single" w:sz="4" w:space="0" w:color="000000"/>
            </w:tcBorders>
            <w:shd w:val="clear" w:color="auto" w:fill="auto"/>
            <w:vAlign w:val="center"/>
          </w:tcPr>
          <w:p w:rsidR="00C91EFF" w:rsidRDefault="00C91EFF">
            <w:pPr>
              <w:widowControl w:val="0"/>
              <w:jc w:val="center"/>
              <w:rPr>
                <w:rFonts w:ascii="Arial" w:hAnsi="Arial" w:cs="Arial"/>
                <w:color w:val="000000"/>
                <w:sz w:val="18"/>
                <w:szCs w:val="18"/>
              </w:rPr>
            </w:pPr>
          </w:p>
          <w:p w:rsidR="00C91EFF" w:rsidRDefault="00B6428C">
            <w:pPr>
              <w:widowControl w:val="0"/>
              <w:jc w:val="center"/>
            </w:pPr>
            <w:r>
              <w:rPr>
                <w:rFonts w:ascii="Arial" w:hAnsi="Arial" w:cs="Arial"/>
                <w:color w:val="000000"/>
                <w:sz w:val="18"/>
                <w:szCs w:val="18"/>
              </w:rPr>
              <w:t>TECLADO INALÁMBRICO BIDIRECCIONAL, con código PIN, visualización LED, con batería incorporada</w:t>
            </w:r>
          </w:p>
        </w:tc>
        <w:tc>
          <w:tcPr>
            <w:tcW w:w="1020" w:type="dxa"/>
            <w:tcBorders>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1EFF" w:rsidRDefault="00B6428C">
            <w:pPr>
              <w:widowControl w:val="0"/>
              <w:jc w:val="center"/>
            </w:pPr>
            <w:r>
              <w:rPr>
                <w:rFonts w:ascii="Arial" w:hAnsi="Arial" w:cs="Arial"/>
                <w:color w:val="000000"/>
                <w:sz w:val="18"/>
                <w:szCs w:val="18"/>
              </w:rPr>
              <w:t>2,5</w:t>
            </w:r>
          </w:p>
        </w:tc>
        <w:tc>
          <w:tcPr>
            <w:tcW w:w="1125" w:type="dxa"/>
            <w:tcBorders>
              <w:left w:val="single" w:sz="4" w:space="0" w:color="000000"/>
              <w:bottom w:val="single" w:sz="4" w:space="0" w:color="000000"/>
              <w:right w:val="single" w:sz="4" w:space="0" w:color="000000"/>
            </w:tcBorders>
            <w:shd w:val="clear" w:color="auto" w:fill="auto"/>
            <w:vAlign w:val="bottom"/>
          </w:tcPr>
          <w:p w:rsidR="00C91EFF" w:rsidRDefault="00C91EFF">
            <w:pPr>
              <w:widowControl w:val="0"/>
              <w:jc w:val="center"/>
              <w:rPr>
                <w:rFonts w:ascii="Arial" w:hAnsi="Arial" w:cs="Arial"/>
                <w:color w:val="000000"/>
                <w:sz w:val="18"/>
                <w:szCs w:val="18"/>
              </w:rPr>
            </w:pPr>
          </w:p>
        </w:tc>
      </w:tr>
      <w:tr w:rsidR="00C91EFF">
        <w:trPr>
          <w:trHeight w:val="831"/>
          <w:jc w:val="center"/>
        </w:trPr>
        <w:tc>
          <w:tcPr>
            <w:tcW w:w="5505" w:type="dxa"/>
            <w:gridSpan w:val="3"/>
            <w:tcBorders>
              <w:bottom w:val="single" w:sz="8" w:space="0" w:color="000000"/>
            </w:tcBorders>
            <w:shd w:val="clear" w:color="auto" w:fill="auto"/>
            <w:vAlign w:val="bottom"/>
          </w:tcPr>
          <w:p w:rsidR="00C91EFF" w:rsidRDefault="00C91EFF">
            <w:pPr>
              <w:widowControl w:val="0"/>
              <w:jc w:val="center"/>
              <w:rPr>
                <w:rFonts w:ascii="Arial" w:hAnsi="Arial" w:cs="Arial"/>
                <w:sz w:val="18"/>
                <w:szCs w:val="18"/>
              </w:rPr>
            </w:pPr>
          </w:p>
          <w:p w:rsidR="00C91EFF" w:rsidRDefault="00B6428C">
            <w:pPr>
              <w:widowControl w:val="0"/>
              <w:jc w:val="center"/>
            </w:pPr>
            <w:proofErr w:type="gramStart"/>
            <w:r>
              <w:rPr>
                <w:rFonts w:ascii="Arial" w:hAnsi="Arial" w:cs="Arial"/>
                <w:b/>
                <w:color w:val="000000"/>
                <w:sz w:val="18"/>
                <w:szCs w:val="18"/>
              </w:rPr>
              <w:t>TOTAL</w:t>
            </w:r>
            <w:proofErr w:type="gramEnd"/>
            <w:r>
              <w:rPr>
                <w:rFonts w:ascii="Arial" w:hAnsi="Arial" w:cs="Arial"/>
                <w:b/>
                <w:color w:val="000000"/>
                <w:sz w:val="18"/>
                <w:szCs w:val="18"/>
              </w:rPr>
              <w:t xml:space="preserve"> DE UNIDADES DE VALORACIÓN</w:t>
            </w:r>
          </w:p>
        </w:tc>
        <w:tc>
          <w:tcPr>
            <w:tcW w:w="1125" w:type="dxa"/>
            <w:tcBorders>
              <w:top w:val="single" w:sz="8" w:space="0" w:color="000000"/>
              <w:left w:val="single" w:sz="8" w:space="0" w:color="000000"/>
              <w:bottom w:val="single" w:sz="8" w:space="0" w:color="000000"/>
              <w:right w:val="single" w:sz="8" w:space="0" w:color="000000"/>
            </w:tcBorders>
            <w:shd w:val="clear" w:color="auto" w:fill="auto"/>
            <w:vAlign w:val="bottom"/>
          </w:tcPr>
          <w:p w:rsidR="00C91EFF" w:rsidRDefault="00C91EFF">
            <w:pPr>
              <w:widowControl w:val="0"/>
              <w:jc w:val="center"/>
              <w:rPr>
                <w:rFonts w:ascii="Arial" w:hAnsi="Arial" w:cs="Arial"/>
                <w:b/>
                <w:color w:val="000000"/>
                <w:sz w:val="18"/>
                <w:szCs w:val="18"/>
              </w:rPr>
            </w:pPr>
          </w:p>
        </w:tc>
      </w:tr>
    </w:tbl>
    <w:p w:rsidR="00C91EFF" w:rsidRDefault="00C91EFF">
      <w:pPr>
        <w:jc w:val="both"/>
        <w:rPr>
          <w:rFonts w:ascii="Arial" w:eastAsia="Calibri" w:hAnsi="Arial" w:cs="Arial"/>
          <w:sz w:val="20"/>
          <w:lang w:eastAsia="en-US"/>
        </w:rPr>
      </w:pPr>
    </w:p>
    <w:p w:rsidR="00C91EFF" w:rsidRDefault="00C91EFF">
      <w:pPr>
        <w:jc w:val="both"/>
        <w:rPr>
          <w:rFonts w:ascii="Arial" w:eastAsia="Calibri" w:hAnsi="Arial" w:cs="Arial"/>
          <w:sz w:val="20"/>
          <w:lang w:eastAsia="en-US"/>
        </w:rPr>
      </w:pPr>
    </w:p>
    <w:p w:rsidR="00C91EFF" w:rsidRDefault="00B6428C">
      <w:pPr>
        <w:jc w:val="both"/>
        <w:rPr>
          <w:rFonts w:ascii="Arial" w:eastAsia="Calibri" w:hAnsi="Arial" w:cs="Arial"/>
          <w:sz w:val="20"/>
          <w:lang w:eastAsia="en-US"/>
        </w:rPr>
      </w:pPr>
      <w:r>
        <w:rPr>
          <w:rFonts w:ascii="Arial" w:eastAsia="Calibri" w:hAnsi="Arial" w:cs="Arial"/>
          <w:sz w:val="20"/>
          <w:lang w:eastAsia="en-US"/>
        </w:rPr>
        <w:t>Siendo:</w:t>
      </w:r>
    </w:p>
    <w:p w:rsidR="00C91EFF" w:rsidRDefault="00C91EFF">
      <w:pPr>
        <w:jc w:val="both"/>
        <w:rPr>
          <w:rFonts w:ascii="Arial" w:eastAsia="Calibri" w:hAnsi="Arial" w:cs="Arial"/>
          <w:sz w:val="20"/>
          <w:lang w:eastAsia="en-US"/>
        </w:rPr>
      </w:pPr>
    </w:p>
    <w:p w:rsidR="00C91EFF" w:rsidRDefault="00B6428C">
      <w:pPr>
        <w:jc w:val="both"/>
        <w:rPr>
          <w:rFonts w:ascii="Calibri" w:hAnsi="Calibri"/>
          <w:kern w:val="2"/>
          <w:sz w:val="22"/>
          <w:szCs w:val="22"/>
        </w:rPr>
      </w:pPr>
      <w:r>
        <w:rPr>
          <w:rFonts w:ascii="Arial" w:eastAsia="Calibri" w:hAnsi="Arial" w:cs="Arial"/>
          <w:sz w:val="20"/>
          <w:u w:val="single"/>
          <w:lang w:eastAsia="en-US"/>
        </w:rPr>
        <w:t>Número equipos ofertado:</w:t>
      </w:r>
      <w:r>
        <w:rPr>
          <w:rFonts w:ascii="Arial" w:eastAsia="Calibri" w:hAnsi="Arial" w:cs="Arial"/>
          <w:sz w:val="20"/>
          <w:lang w:eastAsia="en-US"/>
        </w:rPr>
        <w:t xml:space="preserve"> Número de unidades nuevas de este elemento que el licitador se compromete a instalar sin coste. Deberá especificar las características técnicas.</w:t>
      </w:r>
    </w:p>
    <w:p w:rsidR="00C91EFF" w:rsidRDefault="00C91EFF">
      <w:pPr>
        <w:jc w:val="both"/>
        <w:rPr>
          <w:rFonts w:ascii="Arial" w:eastAsia="Calibri" w:hAnsi="Arial" w:cs="Arial"/>
          <w:sz w:val="20"/>
          <w:lang w:eastAsia="en-US"/>
        </w:rPr>
      </w:pPr>
    </w:p>
    <w:p w:rsidR="00C91EFF" w:rsidRDefault="00B6428C">
      <w:pPr>
        <w:jc w:val="both"/>
        <w:rPr>
          <w:rFonts w:ascii="Calibri" w:hAnsi="Calibri"/>
          <w:kern w:val="2"/>
          <w:sz w:val="22"/>
          <w:szCs w:val="22"/>
        </w:rPr>
      </w:pPr>
      <w:r>
        <w:rPr>
          <w:rFonts w:ascii="Arial" w:eastAsia="Calibri" w:hAnsi="Arial" w:cs="Arial"/>
          <w:sz w:val="20"/>
          <w:u w:val="single"/>
          <w:lang w:eastAsia="en-US"/>
        </w:rPr>
        <w:t>Unidad de valoración</w:t>
      </w:r>
      <w:r>
        <w:rPr>
          <w:rFonts w:ascii="Arial" w:eastAsia="Calibri" w:hAnsi="Arial" w:cs="Arial"/>
          <w:sz w:val="20"/>
          <w:lang w:eastAsia="en-US"/>
        </w:rPr>
        <w:t xml:space="preserve">: Valor relativo de cada </w:t>
      </w:r>
      <w:r w:rsidR="00282ED4">
        <w:rPr>
          <w:rFonts w:ascii="Arial" w:eastAsia="Calibri" w:hAnsi="Arial" w:cs="Arial"/>
          <w:sz w:val="20"/>
          <w:lang w:eastAsia="en-US"/>
        </w:rPr>
        <w:t>uno</w:t>
      </w:r>
      <w:r>
        <w:rPr>
          <w:rFonts w:ascii="Arial" w:eastAsia="Calibri" w:hAnsi="Arial" w:cs="Arial"/>
          <w:sz w:val="20"/>
          <w:lang w:eastAsia="en-US"/>
        </w:rPr>
        <w:t xml:space="preserve"> de los equipos comprometidos.</w:t>
      </w:r>
    </w:p>
    <w:p w:rsidR="00C91EFF" w:rsidRDefault="00C91EFF">
      <w:pPr>
        <w:jc w:val="both"/>
        <w:rPr>
          <w:rFonts w:ascii="Arial" w:eastAsia="Calibri" w:hAnsi="Arial" w:cs="Arial"/>
          <w:sz w:val="20"/>
          <w:lang w:eastAsia="en-US"/>
        </w:rPr>
      </w:pPr>
    </w:p>
    <w:p w:rsidR="00C91EFF" w:rsidRDefault="00B6428C">
      <w:pPr>
        <w:jc w:val="both"/>
        <w:rPr>
          <w:rFonts w:ascii="Calibri" w:hAnsi="Calibri"/>
          <w:kern w:val="2"/>
          <w:sz w:val="22"/>
          <w:szCs w:val="22"/>
        </w:rPr>
      </w:pPr>
      <w:r>
        <w:rPr>
          <w:rFonts w:ascii="Arial" w:eastAsia="Calibri" w:hAnsi="Arial" w:cs="Arial"/>
          <w:sz w:val="20"/>
          <w:u w:val="single"/>
          <w:lang w:eastAsia="en-US"/>
        </w:rPr>
        <w:t>Subtotal:</w:t>
      </w:r>
      <w:r>
        <w:rPr>
          <w:rFonts w:ascii="Arial" w:eastAsia="Calibri" w:hAnsi="Arial" w:cs="Arial"/>
          <w:sz w:val="20"/>
          <w:lang w:eastAsia="en-US"/>
        </w:rPr>
        <w:t xml:space="preserve"> Producto del nº de equipos ofertados por la unidad de valoración.</w:t>
      </w:r>
    </w:p>
    <w:p w:rsidR="00C91EFF" w:rsidRDefault="00C91EFF">
      <w:pPr>
        <w:jc w:val="both"/>
        <w:rPr>
          <w:rFonts w:ascii="Arial" w:eastAsia="Calibri" w:hAnsi="Arial" w:cs="Arial"/>
          <w:sz w:val="20"/>
          <w:lang w:eastAsia="en-US"/>
        </w:rPr>
      </w:pPr>
    </w:p>
    <w:p w:rsidR="00C91EFF" w:rsidRDefault="00B6428C">
      <w:pPr>
        <w:jc w:val="both"/>
        <w:rPr>
          <w:rFonts w:ascii="Calibri" w:hAnsi="Calibri"/>
          <w:kern w:val="2"/>
          <w:sz w:val="22"/>
          <w:szCs w:val="22"/>
        </w:rPr>
      </w:pPr>
      <w:r>
        <w:rPr>
          <w:rFonts w:ascii="Arial" w:eastAsia="Calibri" w:hAnsi="Arial" w:cs="Arial"/>
          <w:sz w:val="20"/>
          <w:u w:val="single"/>
          <w:lang w:eastAsia="en-US"/>
        </w:rPr>
        <w:t>Total, de unidades de valoración:</w:t>
      </w:r>
      <w:r>
        <w:rPr>
          <w:rFonts w:ascii="Arial" w:eastAsia="Calibri" w:hAnsi="Arial" w:cs="Arial"/>
          <w:sz w:val="20"/>
          <w:lang w:eastAsia="en-US"/>
        </w:rPr>
        <w:t xml:space="preserve"> Sumatorio de los subtotales. Es el valor utilizado para obtener la puntuación en este criterio de adjudicación conforme al criterio definido.</w:t>
      </w:r>
    </w:p>
    <w:p w:rsidR="00C91EFF" w:rsidRDefault="00C91EFF">
      <w:pPr>
        <w:jc w:val="both"/>
        <w:rPr>
          <w:rFonts w:ascii="Arial" w:eastAsia="Calibri" w:hAnsi="Arial" w:cs="Arial"/>
          <w:sz w:val="20"/>
          <w:lang w:eastAsia="en-US"/>
        </w:rPr>
      </w:pPr>
    </w:p>
    <w:p w:rsidR="00C91EFF" w:rsidRDefault="00B6428C">
      <w:pPr>
        <w:jc w:val="both"/>
        <w:rPr>
          <w:rFonts w:ascii="Calibri" w:hAnsi="Calibri"/>
          <w:kern w:val="2"/>
          <w:sz w:val="22"/>
          <w:szCs w:val="22"/>
        </w:rPr>
      </w:pPr>
      <w:r>
        <w:rPr>
          <w:rFonts w:ascii="Arial" w:eastAsia="Calibri" w:hAnsi="Arial" w:cs="Arial"/>
          <w:sz w:val="20"/>
          <w:lang w:eastAsia="en-US"/>
        </w:rPr>
        <w:t>Se asignará el máximo de puntuación (</w:t>
      </w:r>
      <w:r>
        <w:rPr>
          <w:rFonts w:ascii="Arial" w:eastAsia="Calibri" w:hAnsi="Arial" w:cs="Arial"/>
          <w:b/>
          <w:sz w:val="20"/>
          <w:lang w:eastAsia="en-US"/>
        </w:rPr>
        <w:t>28 puntos</w:t>
      </w:r>
      <w:r>
        <w:rPr>
          <w:rFonts w:ascii="Arial" w:eastAsia="Calibri" w:hAnsi="Arial" w:cs="Arial"/>
          <w:sz w:val="20"/>
          <w:lang w:eastAsia="en-US"/>
        </w:rPr>
        <w:t>) a la oferta con el mayor “Total de unidades</w:t>
      </w:r>
      <w:r>
        <w:rPr>
          <w:rFonts w:ascii="Arial" w:eastAsia="Calibri" w:hAnsi="Arial" w:cs="Arial"/>
          <w:color w:val="000000"/>
          <w:sz w:val="20"/>
          <w:lang w:eastAsia="en-US"/>
        </w:rPr>
        <w:t>. de valoración”, asignándose la puntuación al resto de las ofertas mediante proporcionalidad directa.</w:t>
      </w:r>
    </w:p>
    <w:p w:rsidR="00C91EFF" w:rsidRDefault="00C91EFF">
      <w:pPr>
        <w:jc w:val="both"/>
        <w:rPr>
          <w:rFonts w:ascii="Calibri" w:hAnsi="Calibri"/>
          <w:kern w:val="2"/>
          <w:sz w:val="22"/>
          <w:szCs w:val="22"/>
        </w:rPr>
      </w:pPr>
    </w:p>
    <w:p w:rsidR="00C91EFF" w:rsidRDefault="00B6428C">
      <w:pPr>
        <w:jc w:val="both"/>
        <w:rPr>
          <w:rFonts w:ascii="Calibri" w:hAnsi="Calibri"/>
          <w:kern w:val="2"/>
          <w:sz w:val="22"/>
          <w:szCs w:val="22"/>
        </w:rPr>
      </w:pPr>
      <w:r>
        <w:rPr>
          <w:rFonts w:ascii="Arial" w:eastAsia="Calibri" w:hAnsi="Arial" w:cs="Arial"/>
          <w:color w:val="000000"/>
          <w:sz w:val="20"/>
          <w:u w:val="single"/>
          <w:lang w:eastAsia="en-US"/>
        </w:rPr>
        <w:t xml:space="preserve">Puntuación de la oferta </w:t>
      </w:r>
      <w:r>
        <w:rPr>
          <w:rFonts w:ascii="Arial" w:eastAsia="Calibri" w:hAnsi="Arial" w:cs="Arial"/>
          <w:color w:val="000000"/>
          <w:sz w:val="20"/>
          <w:lang w:eastAsia="en-US"/>
        </w:rPr>
        <w:t>= Total unidades de valoración de la oferta* Puntuación máxima (28 puntos) / Total de unidades de valoración máxima.</w:t>
      </w:r>
    </w:p>
    <w:p w:rsidR="00C91EFF" w:rsidRDefault="00C91EFF">
      <w:pPr>
        <w:jc w:val="both"/>
        <w:rPr>
          <w:rFonts w:ascii="Arial" w:eastAsia="Calibri" w:hAnsi="Arial" w:cs="Arial"/>
          <w:sz w:val="20"/>
          <w:lang w:eastAsia="en-US"/>
        </w:rPr>
      </w:pPr>
    </w:p>
    <w:p w:rsidR="00C91EFF" w:rsidRDefault="00B6428C">
      <w:pPr>
        <w:rPr>
          <w:rFonts w:ascii="Calibri" w:hAnsi="Calibri"/>
          <w:kern w:val="2"/>
          <w:sz w:val="22"/>
          <w:szCs w:val="22"/>
        </w:rPr>
      </w:pPr>
      <w:r>
        <w:rPr>
          <w:rFonts w:ascii="Arial" w:eastAsia="Calibri" w:hAnsi="Arial" w:cs="Arial"/>
          <w:sz w:val="20"/>
          <w:lang w:eastAsia="en-US"/>
        </w:rPr>
        <w:t>En caso de prórroga, el número de elementos de seguridad se extenderá al periodo de la prórroga, en cuantía proporcional a la duración de la prórroga.</w:t>
      </w:r>
      <w:r>
        <w:rPr>
          <w:rFonts w:ascii="Arial" w:hAnsi="Arial" w:cs="Arial"/>
          <w:sz w:val="20"/>
        </w:rPr>
        <w:t xml:space="preserve">                                                                                                                                                                                                                  </w:t>
      </w:r>
    </w:p>
    <w:p w:rsidR="00C91EFF" w:rsidRDefault="00C91EFF">
      <w:pPr>
        <w:rPr>
          <w:rFonts w:ascii="Calibri" w:hAnsi="Calibri"/>
          <w:kern w:val="2"/>
          <w:sz w:val="22"/>
          <w:szCs w:val="22"/>
        </w:rPr>
      </w:pPr>
    </w:p>
    <w:p w:rsidR="00C91EFF" w:rsidRDefault="00C91EFF">
      <w:pPr>
        <w:rPr>
          <w:rFonts w:ascii="Calibri" w:hAnsi="Calibri"/>
          <w:kern w:val="2"/>
          <w:sz w:val="22"/>
          <w:szCs w:val="22"/>
        </w:rPr>
      </w:pPr>
    </w:p>
    <w:p w:rsidR="00C91EFF" w:rsidRDefault="00B6428C">
      <w:pPr>
        <w:spacing w:after="160"/>
        <w:jc w:val="both"/>
        <w:textAlignment w:val="baseline"/>
        <w:rPr>
          <w:rFonts w:ascii="Calibri" w:hAnsi="Calibri"/>
          <w:kern w:val="2"/>
          <w:sz w:val="22"/>
          <w:szCs w:val="22"/>
        </w:rPr>
      </w:pPr>
      <w:r>
        <w:rPr>
          <w:rFonts w:ascii="Arial" w:eastAsia="Calibri" w:hAnsi="Arial" w:cs="Arial"/>
          <w:b/>
          <w:sz w:val="20"/>
          <w:lang w:eastAsia="en-US"/>
        </w:rPr>
        <w:t>2.2. Plan de gestión del servicio:</w:t>
      </w:r>
      <w:r>
        <w:rPr>
          <w:rFonts w:ascii="Arial" w:eastAsia="Calibri" w:hAnsi="Arial" w:cs="Arial"/>
          <w:color w:val="FF0000"/>
          <w:sz w:val="20"/>
          <w:lang w:eastAsia="en-US"/>
        </w:rPr>
        <w:t xml:space="preserve"> </w:t>
      </w:r>
      <w:r>
        <w:rPr>
          <w:rFonts w:ascii="Arial" w:eastAsia="Calibri" w:hAnsi="Arial" w:cs="Arial"/>
          <w:sz w:val="20"/>
          <w:lang w:eastAsia="en-US"/>
        </w:rPr>
        <w:t>(</w:t>
      </w:r>
      <w:r>
        <w:rPr>
          <w:rFonts w:ascii="Arial" w:eastAsia="Calibri" w:hAnsi="Arial" w:cs="Arial"/>
          <w:b/>
          <w:sz w:val="20"/>
          <w:u w:val="single"/>
          <w:lang w:eastAsia="en-US"/>
        </w:rPr>
        <w:t>TODOS LOS LOTES)</w:t>
      </w:r>
      <w:bookmarkStart w:id="1" w:name="_Hlk42336784"/>
    </w:p>
    <w:p w:rsidR="00C91EFF" w:rsidRDefault="00B6428C">
      <w:pPr>
        <w:spacing w:after="160"/>
        <w:jc w:val="both"/>
        <w:textAlignment w:val="baseline"/>
        <w:rPr>
          <w:rFonts w:ascii="Arial" w:eastAsia="Calibri" w:hAnsi="Arial" w:cs="Arial"/>
          <w:sz w:val="20"/>
          <w:lang w:eastAsia="en-US"/>
        </w:rPr>
      </w:pPr>
      <w:bookmarkStart w:id="2" w:name="_Hlk45174342"/>
      <w:r>
        <w:rPr>
          <w:rFonts w:ascii="Arial" w:eastAsia="Calibri" w:hAnsi="Arial" w:cs="Arial"/>
          <w:sz w:val="20"/>
          <w:lang w:eastAsia="en-US"/>
        </w:rPr>
        <w:t>NO AUTOMÁTICO</w:t>
      </w:r>
      <w:bookmarkEnd w:id="2"/>
      <w:bookmarkEnd w:id="1"/>
    </w:p>
    <w:p w:rsidR="00C91EFF" w:rsidRDefault="00B6428C">
      <w:pPr>
        <w:spacing w:after="160"/>
        <w:jc w:val="both"/>
        <w:textAlignment w:val="baseline"/>
        <w:rPr>
          <w:rFonts w:ascii="Arial" w:eastAsia="Calibri" w:hAnsi="Arial" w:cs="Arial"/>
          <w:b/>
          <w:sz w:val="20"/>
          <w:u w:val="single"/>
          <w:lang w:eastAsia="en-US"/>
        </w:rPr>
      </w:pPr>
      <w:r>
        <w:rPr>
          <w:rFonts w:ascii="Arial" w:eastAsia="Calibri" w:hAnsi="Arial" w:cs="Arial"/>
          <w:b/>
          <w:sz w:val="20"/>
          <w:u w:val="single"/>
          <w:lang w:eastAsia="en-US"/>
        </w:rPr>
        <w:t>Puntuación máxima del criterio: 18 puntos</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El Plan de Gestión del Servicio indica los medios personales, materiales y organizativos que se pondrán a disposición de la Administración para la prestación del servicio objeto del contrato.</w:t>
      </w:r>
    </w:p>
    <w:p w:rsidR="00C91EFF" w:rsidRDefault="00C91EFF">
      <w:pPr>
        <w:spacing w:after="160"/>
        <w:jc w:val="both"/>
        <w:textAlignment w:val="baseline"/>
        <w:rPr>
          <w:rFonts w:ascii="Arial" w:eastAsia="Calibri" w:hAnsi="Arial" w:cs="Arial"/>
          <w:sz w:val="20"/>
          <w:lang w:eastAsia="en-US"/>
        </w:rPr>
      </w:pPr>
    </w:p>
    <w:p w:rsidR="00C91EFF" w:rsidRDefault="00B6428C">
      <w:pPr>
        <w:spacing w:after="160"/>
        <w:ind w:left="426"/>
        <w:jc w:val="both"/>
        <w:textAlignment w:val="baseline"/>
        <w:rPr>
          <w:rFonts w:ascii="Calibri" w:hAnsi="Calibri"/>
          <w:kern w:val="2"/>
          <w:sz w:val="22"/>
          <w:szCs w:val="22"/>
        </w:rPr>
      </w:pPr>
      <w:r>
        <w:rPr>
          <w:rFonts w:ascii="Arial" w:eastAsia="Calibri" w:hAnsi="Arial" w:cs="Arial"/>
          <w:b/>
          <w:sz w:val="20"/>
          <w:lang w:eastAsia="en-US"/>
        </w:rPr>
        <w:lastRenderedPageBreak/>
        <w:t>2.2.1.   ESTUDIO DE LAS CONDICIONES DE SEGURIDAD DEL EDIFICIO OBJETO DE PROTECCIÓN</w:t>
      </w:r>
      <w:r>
        <w:rPr>
          <w:rFonts w:ascii="Arial" w:eastAsia="Calibri" w:hAnsi="Arial" w:cs="Arial"/>
          <w:sz w:val="20"/>
          <w:lang w:eastAsia="en-US"/>
        </w:rPr>
        <w:t>.</w:t>
      </w:r>
    </w:p>
    <w:p w:rsidR="00C91EFF" w:rsidRDefault="00B6428C">
      <w:pPr>
        <w:spacing w:after="160"/>
        <w:ind w:left="426"/>
        <w:jc w:val="both"/>
        <w:textAlignment w:val="baseline"/>
        <w:rPr>
          <w:rFonts w:ascii="Arial" w:eastAsia="Calibri" w:hAnsi="Arial" w:cs="Arial"/>
          <w:sz w:val="20"/>
          <w:u w:val="single"/>
          <w:lang w:eastAsia="en-US"/>
        </w:rPr>
      </w:pPr>
      <w:r>
        <w:rPr>
          <w:rFonts w:ascii="Arial" w:eastAsia="Calibri" w:hAnsi="Arial" w:cs="Arial"/>
          <w:sz w:val="20"/>
          <w:u w:val="single"/>
          <w:lang w:eastAsia="en-US"/>
        </w:rPr>
        <w:t>2.2.1.1. Descripción del edificio</w:t>
      </w:r>
    </w:p>
    <w:p w:rsidR="00C91EFF" w:rsidRDefault="00B6428C">
      <w:pPr>
        <w:spacing w:after="160"/>
        <w:ind w:left="426"/>
        <w:jc w:val="both"/>
        <w:textAlignment w:val="baseline"/>
        <w:rPr>
          <w:rFonts w:ascii="Calibri" w:hAnsi="Calibri"/>
          <w:kern w:val="2"/>
          <w:sz w:val="22"/>
          <w:szCs w:val="22"/>
        </w:rPr>
      </w:pPr>
      <w:r>
        <w:rPr>
          <w:rFonts w:ascii="Arial" w:eastAsia="Calibri" w:hAnsi="Arial" w:cs="Arial"/>
          <w:sz w:val="20"/>
          <w:u w:val="single"/>
          <w:lang w:eastAsia="en-US"/>
        </w:rPr>
        <w:t>2.2.1.1.1. Entorno y ubicación (Máximo 12%</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bookmarkStart w:id="3" w:name="_Hlk63837609"/>
      <w:bookmarkEnd w:id="3"/>
      <w:r>
        <w:rPr>
          <w:rFonts w:ascii="Arial" w:eastAsia="Calibri" w:hAnsi="Arial" w:cs="Arial"/>
          <w:sz w:val="20"/>
          <w:lang w:eastAsia="en-US"/>
        </w:rPr>
        <w:t></w:t>
      </w:r>
      <w:r>
        <w:rPr>
          <w:rFonts w:ascii="Arial" w:eastAsia="Calibri" w:hAnsi="Arial" w:cs="Arial"/>
          <w:sz w:val="20"/>
          <w:lang w:eastAsia="en-US"/>
        </w:rPr>
        <w:tab/>
        <w:t>Realiza una amplia descripción del emplazamiento del edificio en la ciudad planteando de forma muy buena las ventajas e inconvenientes que supone esta circunstancia para su seguridad (máx. 12%)</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 una amplia descripción del emplazamiento del edificio en la ciudad planteando de forma buena las ventajas e inconvenientes que supone esta circunstancia para su seguridad (máx. 8%</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 una aceptable descripción del emplazamiento del edificio en la ciudad planteando de forma detallada las ventajas e inconvenientes que supone esta circunstancia para su seguridad (máx. 4%</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w:t>
      </w:r>
      <w:r>
        <w:rPr>
          <w:rFonts w:ascii="Arial" w:eastAsia="Calibri" w:hAnsi="Arial" w:cs="Arial"/>
          <w:sz w:val="20"/>
          <w:lang w:eastAsia="en-US"/>
        </w:rPr>
        <w:tab/>
        <w:t>No apta: no realiza la descripción o la presenta con errores manifiestos (0 puntos).</w:t>
      </w:r>
    </w:p>
    <w:p w:rsidR="00C91EFF" w:rsidRDefault="00C91EFF">
      <w:pPr>
        <w:spacing w:after="160"/>
        <w:ind w:left="709"/>
        <w:jc w:val="both"/>
        <w:textAlignment w:val="baseline"/>
        <w:rPr>
          <w:rFonts w:ascii="Arial" w:eastAsia="Calibri" w:hAnsi="Arial" w:cs="Arial"/>
          <w:sz w:val="20"/>
          <w:lang w:eastAsia="en-US"/>
        </w:rPr>
      </w:pPr>
    </w:p>
    <w:p w:rsidR="00C91EFF" w:rsidRDefault="00B6428C">
      <w:pPr>
        <w:spacing w:after="160"/>
        <w:ind w:left="426"/>
        <w:jc w:val="both"/>
        <w:textAlignment w:val="baseline"/>
        <w:rPr>
          <w:rFonts w:ascii="Calibri" w:hAnsi="Calibri"/>
          <w:kern w:val="2"/>
          <w:sz w:val="22"/>
          <w:szCs w:val="22"/>
        </w:rPr>
      </w:pPr>
      <w:bookmarkStart w:id="4" w:name="_Hlk63837637"/>
      <w:bookmarkEnd w:id="4"/>
      <w:r>
        <w:rPr>
          <w:rFonts w:ascii="Arial" w:eastAsia="Calibri" w:hAnsi="Arial" w:cs="Arial"/>
          <w:sz w:val="20"/>
          <w:u w:val="single"/>
          <w:lang w:eastAsia="en-US"/>
        </w:rPr>
        <w:t>2.2.1.1.2. Características constructivas. (Máximo 16%</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 un estudio muy bueno de los cerramientos, fachadas, puertas, ventanas y elementos adosados del edificio, identificando los puntos vulnerables, proponiendo soluciones viables para corregir sus efectos (máx. 16%</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 un estudio bueno de los cerramientos, fachadas, puertas, ventanas y elementos adosados del edificio, identificando los puntos vulnerables proponiendo soluciones viables para corregir sus efectos (máx. 10%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 un estudio aceptable de los cerramientos, fachadas, puertas, ventanas y elementos adosados del edificio, identificando puntos vulnerables proponiendo soluciones poco apropiadas para corregir sus efectos (máx. 4%)</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w:t>
      </w:r>
      <w:r>
        <w:rPr>
          <w:rFonts w:ascii="Arial" w:eastAsia="Calibri" w:hAnsi="Arial" w:cs="Arial"/>
          <w:sz w:val="20"/>
          <w:lang w:eastAsia="en-US"/>
        </w:rPr>
        <w:tab/>
        <w:t>No apta: no realiza el estudio o lo presenta sin identificar los puntos vulnerables (0 puntos).</w:t>
      </w:r>
    </w:p>
    <w:p w:rsidR="00C91EFF" w:rsidRDefault="00B6428C">
      <w:pPr>
        <w:spacing w:after="160"/>
        <w:ind w:left="426"/>
        <w:jc w:val="both"/>
        <w:textAlignment w:val="baseline"/>
        <w:rPr>
          <w:rFonts w:ascii="Calibri" w:hAnsi="Calibri"/>
          <w:kern w:val="2"/>
          <w:sz w:val="22"/>
          <w:szCs w:val="22"/>
        </w:rPr>
      </w:pPr>
      <w:bookmarkStart w:id="5" w:name="_Hlk63837659"/>
      <w:bookmarkEnd w:id="5"/>
      <w:r>
        <w:rPr>
          <w:rFonts w:ascii="Arial" w:eastAsia="Calibri" w:hAnsi="Arial" w:cs="Arial"/>
          <w:sz w:val="20"/>
          <w:u w:val="single"/>
          <w:lang w:eastAsia="en-US"/>
        </w:rPr>
        <w:t>2.2.1.1.3. Evaluación de riesgos (Máximo 16%</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Evalúan correctamente el riesgo de intrusión en aplicación de lo establecido en la Norma Técnica y justifican de forma muy buena la existencia de otros riesgos en el edificio propios de actividades antisociales (máx. 16%</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Evalúan correctamente el riesgo de intrusión en aplicación de lo establecido en la Norma Técnica y justifican de forma buena la existencia de otros riesgos en el edificio propios de actividades antisociales (máx. 10%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Evalúan correctamente el riesgo de intrusión en aplicación de lo establecido en la Norma Técnica y justifican de forma aceptable la existencia de otros riesgos en el edificio propios de actividades antisociales (máx. 4%</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w:t>
      </w:r>
      <w:r>
        <w:rPr>
          <w:rFonts w:ascii="Arial" w:eastAsia="Calibri" w:hAnsi="Arial" w:cs="Arial"/>
          <w:sz w:val="20"/>
          <w:lang w:eastAsia="en-US"/>
        </w:rPr>
        <w:tab/>
        <w:t>No apta:  No realizan la evaluación de riesgos o aplican la Norma Técnica cometiendo errores manifiestos (0 puntos).</w:t>
      </w:r>
    </w:p>
    <w:p w:rsidR="00C91EFF" w:rsidRDefault="00B6428C">
      <w:pPr>
        <w:spacing w:after="160"/>
        <w:ind w:left="426"/>
        <w:jc w:val="both"/>
        <w:textAlignment w:val="baseline"/>
        <w:rPr>
          <w:rFonts w:ascii="Arial" w:eastAsia="Calibri" w:hAnsi="Arial" w:cs="Arial"/>
          <w:sz w:val="20"/>
          <w:u w:val="single"/>
          <w:lang w:eastAsia="en-US"/>
        </w:rPr>
      </w:pPr>
      <w:bookmarkStart w:id="6" w:name="_Hlk63837685"/>
      <w:bookmarkEnd w:id="6"/>
      <w:r>
        <w:rPr>
          <w:rFonts w:ascii="Arial" w:eastAsia="Calibri" w:hAnsi="Arial" w:cs="Arial"/>
          <w:sz w:val="20"/>
          <w:u w:val="single"/>
          <w:lang w:eastAsia="en-US"/>
        </w:rPr>
        <w:t>2.2.1.2. Medios activos</w:t>
      </w:r>
    </w:p>
    <w:p w:rsidR="00C91EFF" w:rsidRDefault="00B6428C">
      <w:pPr>
        <w:spacing w:after="160"/>
        <w:ind w:left="426"/>
        <w:jc w:val="both"/>
        <w:textAlignment w:val="baseline"/>
        <w:rPr>
          <w:rFonts w:ascii="Calibri" w:hAnsi="Calibri"/>
          <w:kern w:val="2"/>
          <w:sz w:val="22"/>
          <w:szCs w:val="22"/>
        </w:rPr>
      </w:pPr>
      <w:r>
        <w:rPr>
          <w:rFonts w:ascii="Arial" w:eastAsia="Calibri" w:hAnsi="Arial" w:cs="Arial"/>
          <w:sz w:val="20"/>
          <w:u w:val="single"/>
          <w:lang w:eastAsia="en-US"/>
        </w:rPr>
        <w:t>Estudio de los sistemas de seguridad. (Máximo 20 %</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lastRenderedPageBreak/>
        <w:t></w:t>
      </w:r>
      <w:r>
        <w:rPr>
          <w:rFonts w:ascii="Arial" w:eastAsia="Calibri" w:hAnsi="Arial" w:cs="Arial"/>
          <w:sz w:val="20"/>
          <w:lang w:eastAsia="en-US"/>
        </w:rPr>
        <w:tab/>
        <w:t>Realizan una descripción muy buena de los sistemas existentes en el edificio, evalúan su estado y presentan unas pautas de utilización y funcionamiento (máx.20%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Realizan una buena descripción de los sistemas existentes en el edificio, evalúan su estado y presentan unas pautas de utilización y funcionamiento (máx.15 %</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Realizan una aceptable descripción de los sistemas existentes en el edificio, evalúan su estado y presentan unas pautas de utilización y funcionamiento (máx.10%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Realizan una básica descripción de los sistemas de seguridad existentes en el edificio, sin indicar su estado ni pautas de funcionamiento (máx.5%</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w:t>
      </w:r>
      <w:r>
        <w:rPr>
          <w:rFonts w:ascii="Arial" w:eastAsia="Calibri" w:hAnsi="Arial" w:cs="Arial"/>
          <w:sz w:val="20"/>
          <w:lang w:eastAsia="en-US"/>
        </w:rPr>
        <w:tab/>
        <w:t>No apta: no realiza la descripción o la presenta de forma genérica (0 puntos).</w:t>
      </w:r>
    </w:p>
    <w:p w:rsidR="00C91EFF" w:rsidRDefault="00C91EFF">
      <w:pPr>
        <w:spacing w:after="160"/>
        <w:ind w:left="709"/>
        <w:jc w:val="both"/>
        <w:textAlignment w:val="baseline"/>
        <w:rPr>
          <w:rFonts w:ascii="Arial" w:eastAsia="Calibri" w:hAnsi="Arial" w:cs="Arial"/>
          <w:sz w:val="20"/>
          <w:lang w:eastAsia="en-US"/>
        </w:rPr>
      </w:pPr>
      <w:bookmarkStart w:id="7" w:name="_Hlk63837767"/>
      <w:bookmarkStart w:id="8" w:name="_Hlk63837721"/>
      <w:bookmarkEnd w:id="7"/>
      <w:bookmarkEnd w:id="8"/>
    </w:p>
    <w:p w:rsidR="00C91EFF" w:rsidRDefault="00B6428C">
      <w:pPr>
        <w:spacing w:after="160"/>
        <w:ind w:left="426"/>
        <w:jc w:val="both"/>
        <w:textAlignment w:val="baseline"/>
        <w:rPr>
          <w:rFonts w:ascii="Arial" w:eastAsia="Calibri" w:hAnsi="Arial" w:cs="Arial"/>
          <w:b/>
          <w:sz w:val="20"/>
          <w:lang w:eastAsia="en-US"/>
        </w:rPr>
      </w:pPr>
      <w:r>
        <w:rPr>
          <w:rFonts w:ascii="Arial" w:eastAsia="Calibri" w:hAnsi="Arial" w:cs="Arial"/>
          <w:b/>
          <w:sz w:val="20"/>
          <w:lang w:eastAsia="en-US"/>
        </w:rPr>
        <w:t>2.2.2. RECURSOS DE APOYO AL SERVICIO OBJETO DE CONTRATO.</w:t>
      </w:r>
    </w:p>
    <w:p w:rsidR="00C91EFF" w:rsidRDefault="00B6428C">
      <w:pPr>
        <w:spacing w:after="160"/>
        <w:ind w:left="426"/>
        <w:jc w:val="both"/>
        <w:textAlignment w:val="baseline"/>
        <w:rPr>
          <w:rFonts w:ascii="Calibri" w:hAnsi="Calibri"/>
          <w:kern w:val="2"/>
          <w:sz w:val="22"/>
          <w:szCs w:val="22"/>
        </w:rPr>
      </w:pPr>
      <w:r>
        <w:rPr>
          <w:rFonts w:ascii="Arial" w:eastAsia="Calibri" w:hAnsi="Arial" w:cs="Arial"/>
          <w:sz w:val="20"/>
          <w:u w:val="single"/>
          <w:lang w:eastAsia="en-US"/>
        </w:rPr>
        <w:t>2.2.2.1. Medios materiales de los que dispone la empresa y en qué condiciones se ponen a disposición del Organismo (Máximo 16%</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 xml:space="preserve">Relaciona </w:t>
      </w:r>
      <w:r>
        <w:rPr>
          <w:rFonts w:ascii="Arial" w:eastAsia="Calibri" w:hAnsi="Arial" w:cs="Arial"/>
          <w:sz w:val="20"/>
          <w:u w:val="single"/>
          <w:lang w:eastAsia="en-US"/>
        </w:rPr>
        <w:t>muy bien</w:t>
      </w:r>
      <w:r>
        <w:rPr>
          <w:rFonts w:ascii="Arial" w:eastAsia="Calibri" w:hAnsi="Arial" w:cs="Arial"/>
          <w:sz w:val="20"/>
          <w:lang w:eastAsia="en-US"/>
        </w:rPr>
        <w:t xml:space="preserve"> los medios materiales que la empresa pone a disposición del Organismo, justificando su utilidad, e indicando tiempo y condiciones de manera que puedan ser considerados idóneos para mantener el servicio (máx.16% </w:t>
      </w:r>
      <w:bookmarkStart w:id="9" w:name="_Hlk63153177"/>
      <w:r>
        <w:rPr>
          <w:rFonts w:ascii="Arial" w:eastAsia="Calibri" w:hAnsi="Arial" w:cs="Arial"/>
          <w:sz w:val="20"/>
          <w:lang w:eastAsia="en-US"/>
        </w:rPr>
        <w:t>de la puntuación máxima del criterio</w:t>
      </w:r>
      <w:bookmarkEnd w:id="9"/>
      <w:r>
        <w:rPr>
          <w:rFonts w:ascii="Arial" w:eastAsia="Calibri" w:hAnsi="Arial" w:cs="Arial"/>
          <w:sz w:val="20"/>
          <w:lang w:eastAsia="en-US"/>
        </w:rPr>
        <w:t>).</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 xml:space="preserve">Relaciona </w:t>
      </w:r>
      <w:r>
        <w:rPr>
          <w:rFonts w:ascii="Arial" w:eastAsia="Calibri" w:hAnsi="Arial" w:cs="Arial"/>
          <w:sz w:val="20"/>
          <w:u w:val="single"/>
          <w:lang w:eastAsia="en-US"/>
        </w:rPr>
        <w:t>bien</w:t>
      </w:r>
      <w:r>
        <w:rPr>
          <w:rFonts w:ascii="Arial" w:eastAsia="Calibri" w:hAnsi="Arial" w:cs="Arial"/>
          <w:sz w:val="20"/>
          <w:lang w:eastAsia="en-US"/>
        </w:rPr>
        <w:t xml:space="preserve"> los medios materiales que la empresa pone a disposición del Organismo, justificando su utilidad, e indicando tiempo y condiciones de manera que puedan ser considerados adecuados para mantener el servicio (máx.12%</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 xml:space="preserve">Relaciona </w:t>
      </w:r>
      <w:r>
        <w:rPr>
          <w:rFonts w:ascii="Arial" w:eastAsia="Calibri" w:hAnsi="Arial" w:cs="Arial"/>
          <w:sz w:val="20"/>
          <w:u w:val="single"/>
          <w:lang w:eastAsia="en-US"/>
        </w:rPr>
        <w:t>de forma aceptable</w:t>
      </w:r>
      <w:r>
        <w:rPr>
          <w:rFonts w:ascii="Arial" w:eastAsia="Calibri" w:hAnsi="Arial" w:cs="Arial"/>
          <w:sz w:val="20"/>
          <w:lang w:eastAsia="en-US"/>
        </w:rPr>
        <w:t xml:space="preserve"> los medios materiales que la empresa pone a disposición del Organismo, justificando su utilidad, en unos tiempos y condiciones que puedan ser considerados inapropiados (máx. 8%</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 xml:space="preserve">Relaciona </w:t>
      </w:r>
      <w:r>
        <w:rPr>
          <w:rFonts w:ascii="Arial" w:eastAsia="Calibri" w:hAnsi="Arial" w:cs="Arial"/>
          <w:sz w:val="20"/>
          <w:u w:val="single"/>
          <w:lang w:eastAsia="en-US"/>
        </w:rPr>
        <w:t>de forma básica</w:t>
      </w:r>
      <w:r>
        <w:rPr>
          <w:rFonts w:ascii="Arial" w:eastAsia="Calibri" w:hAnsi="Arial" w:cs="Arial"/>
          <w:sz w:val="20"/>
          <w:lang w:eastAsia="en-US"/>
        </w:rPr>
        <w:t xml:space="preserve"> los medios materiales que la empresa pone a disposición del Organismo, sin justificar su utilidad o de manera que puedan ser considerados innecesarios (máx. 4%</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 xml:space="preserve">No apta: </w:t>
      </w:r>
      <w:r>
        <w:rPr>
          <w:rFonts w:ascii="Arial" w:eastAsia="Calibri" w:hAnsi="Arial" w:cs="Arial"/>
          <w:sz w:val="20"/>
          <w:u w:val="single"/>
          <w:lang w:eastAsia="en-US"/>
        </w:rPr>
        <w:t>no describe</w:t>
      </w:r>
      <w:r>
        <w:rPr>
          <w:rFonts w:ascii="Arial" w:eastAsia="Calibri" w:hAnsi="Arial" w:cs="Arial"/>
          <w:sz w:val="20"/>
          <w:lang w:eastAsia="en-US"/>
        </w:rPr>
        <w:t xml:space="preserve"> los medios o realiza un ofrecimiento con medios inapropiados o en unas condiciones que puedan ser consideradas como improcedentes (0 puntos).</w:t>
      </w:r>
    </w:p>
    <w:p w:rsidR="00C91EFF" w:rsidRDefault="00B6428C">
      <w:pPr>
        <w:spacing w:after="160"/>
        <w:ind w:left="426"/>
        <w:jc w:val="both"/>
        <w:textAlignment w:val="baseline"/>
        <w:rPr>
          <w:rFonts w:ascii="Calibri" w:hAnsi="Calibri"/>
          <w:kern w:val="2"/>
          <w:sz w:val="22"/>
          <w:szCs w:val="22"/>
        </w:rPr>
      </w:pPr>
      <w:bookmarkStart w:id="10" w:name="_Hlk63837856"/>
      <w:bookmarkStart w:id="11" w:name="_Hlk63837877"/>
      <w:bookmarkEnd w:id="10"/>
      <w:r>
        <w:rPr>
          <w:rFonts w:ascii="Arial" w:eastAsia="Calibri" w:hAnsi="Arial" w:cs="Arial"/>
          <w:sz w:val="20"/>
          <w:u w:val="single"/>
          <w:lang w:eastAsia="en-US"/>
        </w:rPr>
        <w:t>2.2.2.2. Recursos humanos de la empresa en la Delegación a la que quedará adscrito para reforzar el servicio puntualmente (Máximo 20%</w:t>
      </w:r>
      <w:r>
        <w:rPr>
          <w:rFonts w:ascii="Calibri" w:hAnsi="Calibri"/>
          <w:kern w:val="2"/>
          <w:sz w:val="22"/>
          <w:szCs w:val="22"/>
        </w:rPr>
        <w:t xml:space="preserve"> </w:t>
      </w:r>
      <w:r>
        <w:rPr>
          <w:rFonts w:ascii="Arial" w:eastAsia="Calibri" w:hAnsi="Arial" w:cs="Arial"/>
          <w:sz w:val="20"/>
          <w:u w:val="single"/>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Describen los recursos humanos disponibles en la Delegación, justificando cómo y en qué medida se ponen a disposición del Organismo, y el tiempo de respuesta, de manera que puedan ser considerados muy buenos y de reacción inmediata (máx.20%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Describen los recursos humanos disponibles en la Delegación, justificando cómo y en qué medida se ponen a disposición del Organismo, y el tiempo de respuesta, de manera que puedan ser considerados buenos y de reacción inmediata (máx.15%</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lastRenderedPageBreak/>
        <w:t></w:t>
      </w:r>
      <w:r>
        <w:rPr>
          <w:rFonts w:ascii="Arial" w:eastAsia="Calibri" w:hAnsi="Arial" w:cs="Arial"/>
          <w:sz w:val="20"/>
          <w:lang w:eastAsia="en-US"/>
        </w:rPr>
        <w:tab/>
        <w:t>Describen los recursos humanos disponibles en la Delegación, justificando cómo y en qué medida se ponen a disposición del Organismo, y el tiempo de respuesta, de manera que puedan ser considerados aceptables, pero de reacción tardía (máx.10%</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Calibri" w:hAnsi="Calibri"/>
          <w:kern w:val="2"/>
          <w:sz w:val="22"/>
          <w:szCs w:val="22"/>
        </w:rPr>
      </w:pPr>
      <w:r>
        <w:rPr>
          <w:rFonts w:ascii="Arial" w:eastAsia="Calibri" w:hAnsi="Arial" w:cs="Arial"/>
          <w:sz w:val="20"/>
          <w:lang w:eastAsia="en-US"/>
        </w:rPr>
        <w:t></w:t>
      </w:r>
      <w:r>
        <w:rPr>
          <w:rFonts w:ascii="Arial" w:eastAsia="Calibri" w:hAnsi="Arial" w:cs="Arial"/>
          <w:sz w:val="20"/>
          <w:lang w:eastAsia="en-US"/>
        </w:rPr>
        <w:tab/>
        <w:t>Describen los recursos humanos disponibles en la Delegación, justificando cómo y en qué medida se ponen a disposición del Organismo, y el tiempo de respuesta, de manera que puedan ser considerados básicos o de reacción tardía (máx.5%</w:t>
      </w:r>
      <w:r>
        <w:rPr>
          <w:rFonts w:ascii="Calibri" w:hAnsi="Calibri"/>
          <w:kern w:val="2"/>
          <w:sz w:val="22"/>
          <w:szCs w:val="22"/>
        </w:rPr>
        <w:t xml:space="preserve"> </w:t>
      </w:r>
      <w:r>
        <w:rPr>
          <w:rFonts w:ascii="Arial" w:eastAsia="Calibri" w:hAnsi="Arial" w:cs="Arial"/>
          <w:sz w:val="20"/>
          <w:lang w:eastAsia="en-US"/>
        </w:rPr>
        <w:t>de la puntuación máxima del criterio).</w:t>
      </w: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w:t>
      </w:r>
      <w:r>
        <w:rPr>
          <w:rFonts w:ascii="Arial" w:eastAsia="Calibri" w:hAnsi="Arial" w:cs="Arial"/>
          <w:sz w:val="20"/>
          <w:lang w:eastAsia="en-US"/>
        </w:rPr>
        <w:tab/>
        <w:t xml:space="preserve">No apta: no realiza descripción, lo hace de forma genérica o no justifica cómo y en qué medida realiza el ofrecimiento (0 puntos). </w:t>
      </w:r>
      <w:bookmarkEnd w:id="11"/>
    </w:p>
    <w:p w:rsidR="00C91EFF" w:rsidRDefault="00C91EFF">
      <w:pPr>
        <w:spacing w:after="160"/>
        <w:ind w:left="709"/>
        <w:jc w:val="both"/>
        <w:textAlignment w:val="baseline"/>
        <w:rPr>
          <w:rFonts w:ascii="Arial" w:eastAsia="Calibri" w:hAnsi="Arial" w:cs="Arial"/>
          <w:sz w:val="20"/>
          <w:lang w:eastAsia="en-US"/>
        </w:rPr>
      </w:pPr>
    </w:p>
    <w:p w:rsidR="00C91EFF" w:rsidRDefault="00B6428C">
      <w:pPr>
        <w:spacing w:after="160"/>
        <w:ind w:left="709"/>
        <w:jc w:val="both"/>
        <w:textAlignment w:val="baseline"/>
        <w:rPr>
          <w:rFonts w:ascii="Arial" w:eastAsia="Calibri" w:hAnsi="Arial" w:cs="Arial"/>
          <w:sz w:val="20"/>
          <w:lang w:eastAsia="en-US"/>
        </w:rPr>
      </w:pPr>
      <w:r>
        <w:rPr>
          <w:rFonts w:ascii="Arial" w:eastAsia="Calibri" w:hAnsi="Arial" w:cs="Arial"/>
          <w:sz w:val="20"/>
          <w:lang w:eastAsia="en-US"/>
        </w:rPr>
        <w:t>Cada valoración será justificada conforme a:</w:t>
      </w:r>
    </w:p>
    <w:p w:rsidR="00C91EFF" w:rsidRDefault="00B6428C">
      <w:pPr>
        <w:spacing w:after="160"/>
        <w:ind w:left="426" w:firstLine="708"/>
        <w:jc w:val="both"/>
        <w:textAlignment w:val="baseline"/>
        <w:rPr>
          <w:rFonts w:ascii="Calibri" w:hAnsi="Calibri"/>
          <w:kern w:val="2"/>
          <w:sz w:val="22"/>
          <w:szCs w:val="22"/>
        </w:rPr>
      </w:pPr>
      <w:r>
        <w:rPr>
          <w:rFonts w:ascii="Arial" w:eastAsia="Calibri" w:hAnsi="Arial" w:cs="Arial"/>
          <w:sz w:val="20"/>
          <w:u w:val="single"/>
          <w:lang w:eastAsia="en-US"/>
        </w:rPr>
        <w:t>Muy buena:</w:t>
      </w:r>
      <w:r>
        <w:rPr>
          <w:rFonts w:ascii="Arial" w:eastAsia="Calibri" w:hAnsi="Arial" w:cs="Arial"/>
          <w:sz w:val="20"/>
          <w:lang w:eastAsia="en-US"/>
        </w:rPr>
        <w:t xml:space="preserve"> La oferta cumple las características técnicas dando adecuada respuesta a todos los aspectos referenciados en el presente pliego y en el de prescripciones técnicas. Aporta respuestas técnicas destacables </w:t>
      </w:r>
      <w:r>
        <w:rPr>
          <w:rFonts w:ascii="Arial" w:eastAsia="Calibri" w:hAnsi="Arial" w:cs="Arial"/>
          <w:sz w:val="20"/>
          <w:u w:val="single"/>
          <w:lang w:eastAsia="en-US"/>
        </w:rPr>
        <w:t xml:space="preserve">en una parte muy significativa de los aspectos referenciados </w:t>
      </w:r>
      <w:r>
        <w:rPr>
          <w:rFonts w:ascii="Arial" w:eastAsia="Calibri" w:hAnsi="Arial" w:cs="Arial"/>
          <w:sz w:val="20"/>
          <w:lang w:eastAsia="en-US"/>
        </w:rPr>
        <w:t>dotándola de forma general de un plus de prestaciones, garantía de calidad, disponibilidad y solidez de funcionamiento. Así mismo incluye elementos diferenciadores en la propuesta que de forma objetiva la hace destacar de entre las buenas.</w:t>
      </w:r>
    </w:p>
    <w:p w:rsidR="00C91EFF" w:rsidRDefault="00B6428C">
      <w:pPr>
        <w:spacing w:after="160"/>
        <w:ind w:left="426" w:firstLine="708"/>
        <w:jc w:val="both"/>
        <w:textAlignment w:val="baseline"/>
        <w:rPr>
          <w:rFonts w:ascii="Calibri" w:hAnsi="Calibri"/>
          <w:kern w:val="2"/>
          <w:sz w:val="22"/>
          <w:szCs w:val="22"/>
        </w:rPr>
      </w:pPr>
      <w:r>
        <w:rPr>
          <w:rFonts w:ascii="Arial" w:eastAsia="Calibri" w:hAnsi="Arial" w:cs="Arial"/>
          <w:sz w:val="20"/>
          <w:u w:val="single"/>
          <w:lang w:eastAsia="en-US"/>
        </w:rPr>
        <w:t>Buena:</w:t>
      </w:r>
      <w:r>
        <w:rPr>
          <w:rFonts w:ascii="Arial" w:eastAsia="Calibri" w:hAnsi="Arial" w:cs="Arial"/>
          <w:sz w:val="20"/>
          <w:lang w:eastAsia="en-US"/>
        </w:rPr>
        <w:t xml:space="preserve"> La oferta cumple las características técnicas dando adecuada respuesta a todos los aspectos referenciados en el pliego de prescripciones técnicas. Aporta respuestas técnicas </w:t>
      </w:r>
      <w:r>
        <w:rPr>
          <w:rFonts w:ascii="Arial" w:eastAsia="Calibri" w:hAnsi="Arial" w:cs="Arial"/>
          <w:sz w:val="20"/>
          <w:u w:val="single"/>
          <w:lang w:eastAsia="en-US"/>
        </w:rPr>
        <w:t>destacables en gran número de los aspectos referenciados</w:t>
      </w:r>
      <w:r>
        <w:rPr>
          <w:rFonts w:ascii="Arial" w:eastAsia="Calibri" w:hAnsi="Arial" w:cs="Arial"/>
          <w:sz w:val="20"/>
          <w:lang w:eastAsia="en-US"/>
        </w:rPr>
        <w:t>, dotándola de forma parcial de un plus de prestaciones, garantía de calidad, disponibilidad y solidez de funcionamiento.</w:t>
      </w:r>
    </w:p>
    <w:p w:rsidR="00C91EFF" w:rsidRDefault="00B6428C">
      <w:pPr>
        <w:spacing w:after="160"/>
        <w:ind w:left="426" w:firstLine="708"/>
        <w:jc w:val="both"/>
        <w:textAlignment w:val="baseline"/>
        <w:rPr>
          <w:rFonts w:ascii="Calibri" w:hAnsi="Calibri"/>
          <w:kern w:val="2"/>
          <w:sz w:val="22"/>
          <w:szCs w:val="22"/>
        </w:rPr>
      </w:pPr>
      <w:r>
        <w:rPr>
          <w:rFonts w:ascii="Arial" w:eastAsia="Calibri" w:hAnsi="Arial" w:cs="Arial"/>
          <w:sz w:val="20"/>
          <w:u w:val="single"/>
          <w:lang w:eastAsia="en-US"/>
        </w:rPr>
        <w:t>Aceptable:</w:t>
      </w:r>
      <w:r>
        <w:rPr>
          <w:rFonts w:ascii="Arial" w:eastAsia="Calibri" w:hAnsi="Arial" w:cs="Arial"/>
          <w:sz w:val="20"/>
          <w:lang w:eastAsia="en-US"/>
        </w:rPr>
        <w:t xml:space="preserve"> La oferta cumple las características técnicas dando adecuada respuesta a todos los aspectos referenciados en el presente pliego y en el de prescripciones técnicas. La oferta cumple las características técnicas básicas aportando respuestas técnicas destacables solo </w:t>
      </w:r>
      <w:r>
        <w:rPr>
          <w:rFonts w:ascii="Arial" w:eastAsia="Calibri" w:hAnsi="Arial" w:cs="Arial"/>
          <w:sz w:val="20"/>
          <w:u w:val="single"/>
          <w:lang w:eastAsia="en-US"/>
        </w:rPr>
        <w:t>en un número no relevante de aspectos</w:t>
      </w:r>
      <w:r>
        <w:rPr>
          <w:rFonts w:ascii="Arial" w:eastAsia="Calibri" w:hAnsi="Arial" w:cs="Arial"/>
          <w:sz w:val="20"/>
          <w:lang w:eastAsia="en-US"/>
        </w:rPr>
        <w:t>.</w:t>
      </w:r>
    </w:p>
    <w:p w:rsidR="00C91EFF" w:rsidRDefault="00B6428C">
      <w:pPr>
        <w:spacing w:after="160"/>
        <w:ind w:left="426" w:firstLine="708"/>
        <w:jc w:val="both"/>
        <w:textAlignment w:val="baseline"/>
        <w:rPr>
          <w:rFonts w:ascii="Calibri" w:hAnsi="Calibri"/>
          <w:kern w:val="2"/>
          <w:sz w:val="22"/>
          <w:szCs w:val="22"/>
        </w:rPr>
      </w:pPr>
      <w:r>
        <w:rPr>
          <w:rFonts w:ascii="Arial" w:eastAsia="Calibri" w:hAnsi="Arial" w:cs="Arial"/>
          <w:sz w:val="20"/>
          <w:u w:val="single"/>
          <w:lang w:eastAsia="en-US"/>
        </w:rPr>
        <w:t>Básica:</w:t>
      </w:r>
      <w:r>
        <w:rPr>
          <w:rFonts w:ascii="Arial" w:eastAsia="Calibri" w:hAnsi="Arial" w:cs="Arial"/>
          <w:sz w:val="20"/>
          <w:lang w:eastAsia="en-US"/>
        </w:rPr>
        <w:t xml:space="preserve"> La oferta cumple las características técnicas solicitadas en el pliego de prescripciones técnicas, sin aportación de ninguna respuesta técnica destacable respecto a los aspectos referenciados.</w:t>
      </w:r>
    </w:p>
    <w:p w:rsidR="00C91EFF" w:rsidRDefault="00C91EFF">
      <w:pPr>
        <w:spacing w:after="160"/>
        <w:jc w:val="both"/>
        <w:textAlignment w:val="baseline"/>
        <w:rPr>
          <w:rFonts w:ascii="Arial" w:eastAsia="Calibri" w:hAnsi="Arial" w:cs="Arial"/>
          <w:b/>
          <w:sz w:val="20"/>
          <w:lang w:eastAsia="en-US"/>
        </w:rPr>
      </w:pPr>
    </w:p>
    <w:p w:rsidR="00C91EFF" w:rsidRDefault="00B6428C">
      <w:pPr>
        <w:spacing w:after="160"/>
        <w:jc w:val="both"/>
        <w:textAlignment w:val="baseline"/>
        <w:rPr>
          <w:rFonts w:ascii="Calibri" w:hAnsi="Calibri"/>
          <w:kern w:val="2"/>
          <w:sz w:val="22"/>
          <w:szCs w:val="22"/>
        </w:rPr>
      </w:pPr>
      <w:r>
        <w:rPr>
          <w:rFonts w:ascii="Arial" w:eastAsia="Calibri" w:hAnsi="Arial" w:cs="Arial"/>
          <w:b/>
          <w:sz w:val="20"/>
          <w:lang w:eastAsia="en-US"/>
        </w:rPr>
        <w:t>2.3. Formación en conciliación, igualdad y medioambiente: (</w:t>
      </w:r>
      <w:r>
        <w:rPr>
          <w:rFonts w:ascii="Arial" w:eastAsia="Calibri" w:hAnsi="Arial" w:cs="Arial"/>
          <w:b/>
          <w:sz w:val="20"/>
          <w:u w:val="single"/>
          <w:lang w:eastAsia="en-US"/>
        </w:rPr>
        <w:t>TODOS LOS LOTES</w:t>
      </w:r>
      <w:r>
        <w:rPr>
          <w:rFonts w:ascii="Arial" w:eastAsia="Calibri" w:hAnsi="Arial" w:cs="Arial"/>
          <w:b/>
          <w:sz w:val="20"/>
          <w:lang w:eastAsia="en-US"/>
        </w:rPr>
        <w:t xml:space="preserve">) </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AUTOMÁTICO</w:t>
      </w:r>
    </w:p>
    <w:p w:rsidR="00C91EFF" w:rsidRDefault="00B6428C">
      <w:pPr>
        <w:spacing w:after="160"/>
        <w:jc w:val="both"/>
        <w:textAlignment w:val="baseline"/>
        <w:rPr>
          <w:rFonts w:ascii="Calibri" w:hAnsi="Calibri"/>
          <w:kern w:val="2"/>
          <w:sz w:val="22"/>
          <w:szCs w:val="22"/>
        </w:rPr>
      </w:pPr>
      <w:r>
        <w:rPr>
          <w:rFonts w:ascii="Arial" w:eastAsia="Calibri" w:hAnsi="Arial" w:cs="Arial"/>
          <w:b/>
          <w:sz w:val="20"/>
          <w:u w:val="single"/>
          <w:lang w:eastAsia="en-US"/>
        </w:rPr>
        <w:t>Puntuación máxima del criterio: 3 puntos</w:t>
      </w:r>
    </w:p>
    <w:p w:rsidR="00C91EFF" w:rsidRDefault="00B6428C">
      <w:pPr>
        <w:spacing w:before="100" w:after="100"/>
        <w:jc w:val="both"/>
        <w:rPr>
          <w:rFonts w:ascii="Arial" w:hAnsi="Arial" w:cs="Arial"/>
          <w:sz w:val="20"/>
          <w:lang w:eastAsia="zh-CN"/>
        </w:rPr>
      </w:pPr>
      <w:r>
        <w:rPr>
          <w:rFonts w:ascii="Arial" w:hAnsi="Arial" w:cs="Arial"/>
          <w:sz w:val="20"/>
          <w:lang w:eastAsia="zh-CN"/>
        </w:rPr>
        <w:t>Se valorará la realización de sesiones informativas y formativas específicas relacionados con los derechos establecidos en las leyes de igualdad, en materia de igualdad de género, resolución de conflictos, inmovilización de pacientes, medidas sobre mejoras medioambientales en el entorno laboral, destinadas al personal de la adjudicataria  y personal del Servicio Andaluz de Salud que prestan servicios en los Centros incluidos en el contrato preferentemente con más exposición a estas situaciones.</w:t>
      </w:r>
    </w:p>
    <w:p w:rsidR="00C91EFF" w:rsidRDefault="00B6428C">
      <w:pPr>
        <w:spacing w:beforeAutospacing="1"/>
        <w:rPr>
          <w:szCs w:val="24"/>
        </w:rPr>
      </w:pPr>
      <w:r>
        <w:rPr>
          <w:rFonts w:ascii="Arial" w:hAnsi="Arial" w:cs="Arial"/>
          <w:sz w:val="20"/>
        </w:rPr>
        <w:t>Los cursos irán orientados a las siguientes materias:</w:t>
      </w:r>
    </w:p>
    <w:p w:rsidR="00C91EFF" w:rsidRDefault="00B6428C">
      <w:pPr>
        <w:widowControl w:val="0"/>
        <w:numPr>
          <w:ilvl w:val="0"/>
          <w:numId w:val="6"/>
        </w:numPr>
        <w:spacing w:beforeAutospacing="1"/>
        <w:jc w:val="both"/>
        <w:textAlignment w:val="baseline"/>
        <w:rPr>
          <w:szCs w:val="24"/>
        </w:rPr>
      </w:pPr>
      <w:r>
        <w:rPr>
          <w:rFonts w:ascii="Arial" w:hAnsi="Arial" w:cs="Arial"/>
          <w:b/>
          <w:bCs/>
          <w:sz w:val="20"/>
        </w:rPr>
        <w:t>Igualdad de género.</w:t>
      </w:r>
      <w:r>
        <w:rPr>
          <w:rFonts w:ascii="Arial" w:hAnsi="Arial" w:cs="Arial"/>
          <w:sz w:val="20"/>
        </w:rPr>
        <w:t xml:space="preserve"> Los cursos deberán incluir normativa actual en materia de igualdad de género, planes de igualdad, sensibilización ante la violencia de género, problemas de violencia de género, lenguaje inclusivo, pautas de conciliación, estrategias y técnicas de prevención de la violencia de género, técnicas para actuar ante situaciones de acoso sexual en el trabajo.</w:t>
      </w:r>
    </w:p>
    <w:p w:rsidR="00C91EFF" w:rsidRDefault="00B6428C">
      <w:pPr>
        <w:widowControl w:val="0"/>
        <w:numPr>
          <w:ilvl w:val="0"/>
          <w:numId w:val="7"/>
        </w:numPr>
        <w:spacing w:beforeAutospacing="1"/>
        <w:jc w:val="both"/>
        <w:textAlignment w:val="baseline"/>
        <w:rPr>
          <w:szCs w:val="24"/>
        </w:rPr>
      </w:pPr>
      <w:r>
        <w:rPr>
          <w:rFonts w:ascii="Arial" w:hAnsi="Arial" w:cs="Arial"/>
          <w:b/>
          <w:bCs/>
          <w:sz w:val="20"/>
        </w:rPr>
        <w:lastRenderedPageBreak/>
        <w:t xml:space="preserve">Mediación y resolución de conflictos. </w:t>
      </w:r>
      <w:r>
        <w:rPr>
          <w:rFonts w:ascii="Arial" w:hAnsi="Arial" w:cs="Arial"/>
          <w:sz w:val="20"/>
        </w:rPr>
        <w:t>El objetivo del curso será mostrar técnicas y herramientas que pueden utilizar para la resolución de conflictos. Se deberá tratar el proceso de la mediación, aprender habilidades que caracterizan al mediador (escucha activa, comunicación no verbal, …), así como enseñar a gestionar las propias emociones.</w:t>
      </w:r>
    </w:p>
    <w:p w:rsidR="00C91EFF" w:rsidRDefault="00B6428C">
      <w:pPr>
        <w:widowControl w:val="0"/>
        <w:numPr>
          <w:ilvl w:val="0"/>
          <w:numId w:val="8"/>
        </w:numPr>
        <w:spacing w:beforeAutospacing="1"/>
        <w:jc w:val="both"/>
        <w:textAlignment w:val="baseline"/>
        <w:rPr>
          <w:szCs w:val="24"/>
        </w:rPr>
      </w:pPr>
      <w:r>
        <w:rPr>
          <w:rFonts w:ascii="Arial" w:hAnsi="Arial" w:cs="Arial"/>
          <w:b/>
          <w:bCs/>
          <w:sz w:val="20"/>
        </w:rPr>
        <w:t>Agresiones a profesionales sanitarios y no sanitarios.</w:t>
      </w:r>
      <w:r>
        <w:rPr>
          <w:rFonts w:ascii="Arial" w:hAnsi="Arial" w:cs="Arial"/>
          <w:sz w:val="20"/>
        </w:rPr>
        <w:t xml:space="preserve"> El objetivo de estos cursos será aportar conocimientos y estrategias básicas a los profesionales para que sean capaces de mejorar su comprensión al problema de las agresiones de los pacientes, la del entorno del paciente (familia, amigos, otros pacientes, …) y la del propio profesional. Adquiriendo competencias fundamentales para prevenir, protegerse y actuar. Los cursos les deberán permitir:</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Conocer y analizar los sistemas de prevención de las agresiones a través de los aspectos físicos y organizativos, y de los sistemas de alerta existentes en su entorno laboral.</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Formas de orientar la comunicación y relación el paciente o acompañante para prevenir o manejar reacciones de impaciencia, ansiedad, hostilidad o agresividad.</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Conocer técnicas para reaccionar y protegerse para afrontar situaciones que pueden presentar actitudes y/o conductas agresivas.</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Conocer actuaciones preventivas para evitar la reincidencia de los agresores.</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Saber aplicar técnicas de restricción.</w:t>
      </w:r>
    </w:p>
    <w:p w:rsidR="00C91EFF" w:rsidRDefault="00B6428C">
      <w:pPr>
        <w:widowControl w:val="0"/>
        <w:numPr>
          <w:ilvl w:val="0"/>
          <w:numId w:val="9"/>
        </w:numPr>
        <w:spacing w:before="119" w:after="119"/>
        <w:ind w:left="1276"/>
        <w:jc w:val="both"/>
        <w:textAlignment w:val="baseline"/>
        <w:rPr>
          <w:szCs w:val="24"/>
        </w:rPr>
      </w:pPr>
      <w:r>
        <w:rPr>
          <w:rFonts w:ascii="Arial" w:hAnsi="Arial" w:cs="Arial"/>
          <w:sz w:val="20"/>
        </w:rPr>
        <w:t>Aprender a aplicar técnicas específicas de contención mecánica para determinados pacientes.</w:t>
      </w:r>
    </w:p>
    <w:p w:rsidR="00C91EFF" w:rsidRDefault="00C91EFF">
      <w:pPr>
        <w:spacing w:before="100" w:after="100"/>
        <w:jc w:val="both"/>
        <w:rPr>
          <w:rFonts w:ascii="Calibri" w:hAnsi="Calibri"/>
          <w:kern w:val="2"/>
          <w:sz w:val="22"/>
          <w:szCs w:val="22"/>
        </w:rPr>
      </w:pPr>
    </w:p>
    <w:p w:rsidR="00C91EFF" w:rsidRDefault="00B6428C">
      <w:pPr>
        <w:spacing w:before="100" w:after="100"/>
        <w:jc w:val="both"/>
        <w:rPr>
          <w:rFonts w:ascii="Arial" w:hAnsi="Arial" w:cs="Arial"/>
          <w:sz w:val="20"/>
          <w:lang w:eastAsia="zh-CN"/>
        </w:rPr>
      </w:pPr>
      <w:r>
        <w:rPr>
          <w:rFonts w:ascii="Arial" w:hAnsi="Arial" w:cs="Arial"/>
          <w:sz w:val="20"/>
          <w:lang w:eastAsia="zh-CN"/>
        </w:rPr>
        <w:t>La formación se impartirá en el primer año de prestación del servicio. Al menos el 50% de las horas serán destinadas a los profesionales del SAS.</w:t>
      </w:r>
    </w:p>
    <w:p w:rsidR="00C91EFF" w:rsidRDefault="00B6428C">
      <w:pPr>
        <w:spacing w:before="100" w:after="100"/>
        <w:jc w:val="both"/>
        <w:rPr>
          <w:rFonts w:ascii="Arial" w:hAnsi="Arial" w:cs="Arial"/>
          <w:sz w:val="20"/>
          <w:lang w:eastAsia="zh-CN"/>
        </w:rPr>
      </w:pPr>
      <w:r>
        <w:rPr>
          <w:rFonts w:ascii="Arial" w:hAnsi="Arial" w:cs="Arial"/>
          <w:sz w:val="20"/>
          <w:lang w:eastAsia="zh-CN"/>
        </w:rPr>
        <w:t>La valoración se realizará según el siguiente baremo:</w:t>
      </w:r>
    </w:p>
    <w:p w:rsidR="00C91EFF" w:rsidRDefault="00C91EFF">
      <w:pPr>
        <w:spacing w:before="100" w:after="100"/>
        <w:jc w:val="both"/>
        <w:rPr>
          <w:rFonts w:ascii="Arial" w:hAnsi="Arial" w:cs="Arial"/>
          <w:sz w:val="20"/>
          <w:lang w:eastAsia="zh-CN"/>
        </w:rPr>
      </w:pPr>
    </w:p>
    <w:tbl>
      <w:tblPr>
        <w:tblW w:w="6487" w:type="dxa"/>
        <w:jc w:val="center"/>
        <w:tblLayout w:type="fixed"/>
        <w:tblLook w:val="0000" w:firstRow="0" w:lastRow="0" w:firstColumn="0" w:lastColumn="0" w:noHBand="0" w:noVBand="0"/>
      </w:tblPr>
      <w:tblGrid>
        <w:gridCol w:w="4805"/>
        <w:gridCol w:w="1682"/>
      </w:tblGrid>
      <w:tr w:rsidR="00C91EFF">
        <w:trPr>
          <w:jc w:val="center"/>
        </w:trPr>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jc w:val="center"/>
              <w:rPr>
                <w:rFonts w:ascii="Arial" w:hAnsi="Arial" w:cs="Arial"/>
                <w:b/>
                <w:sz w:val="20"/>
                <w:lang w:eastAsia="zh-CN"/>
              </w:rPr>
            </w:pPr>
            <w:r>
              <w:rPr>
                <w:rFonts w:ascii="Arial" w:hAnsi="Arial" w:cs="Arial"/>
                <w:b/>
                <w:sz w:val="20"/>
                <w:lang w:eastAsia="zh-CN"/>
              </w:rPr>
              <w:t>HORAS DE FORMACIÓN ANUALES</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jc w:val="center"/>
              <w:rPr>
                <w:rFonts w:ascii="Arial" w:hAnsi="Arial" w:cs="Arial"/>
                <w:b/>
                <w:sz w:val="20"/>
                <w:lang w:eastAsia="zh-CN"/>
              </w:rPr>
            </w:pPr>
            <w:r>
              <w:rPr>
                <w:rFonts w:ascii="Arial" w:hAnsi="Arial" w:cs="Arial"/>
                <w:b/>
                <w:sz w:val="20"/>
                <w:lang w:eastAsia="zh-CN"/>
              </w:rPr>
              <w:t>PUNTUACIÓN</w:t>
            </w:r>
          </w:p>
        </w:tc>
      </w:tr>
      <w:tr w:rsidR="00C91EFF">
        <w:trPr>
          <w:jc w:val="center"/>
        </w:trPr>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ind w:left="360"/>
              <w:jc w:val="center"/>
              <w:rPr>
                <w:rFonts w:ascii="Arial" w:hAnsi="Arial" w:cs="Arial"/>
                <w:sz w:val="20"/>
                <w:lang w:eastAsia="zh-CN"/>
              </w:rPr>
            </w:pPr>
            <w:r>
              <w:rPr>
                <w:rFonts w:ascii="Arial" w:hAnsi="Arial" w:cs="Arial"/>
                <w:sz w:val="20"/>
                <w:lang w:eastAsia="zh-CN"/>
              </w:rPr>
              <w:t xml:space="preserve"> 300 ≤ Nº horas ofertadas ≤ 600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jc w:val="center"/>
              <w:rPr>
                <w:rFonts w:ascii="Arial" w:hAnsi="Arial" w:cs="Arial"/>
                <w:sz w:val="20"/>
                <w:lang w:eastAsia="zh-CN"/>
              </w:rPr>
            </w:pPr>
            <w:bookmarkStart w:id="12" w:name="_Hlk45544525"/>
            <w:r>
              <w:rPr>
                <w:rFonts w:ascii="Arial" w:hAnsi="Arial" w:cs="Arial"/>
                <w:sz w:val="20"/>
                <w:lang w:eastAsia="zh-CN"/>
              </w:rPr>
              <w:t>1 punto</w:t>
            </w:r>
            <w:bookmarkEnd w:id="12"/>
          </w:p>
        </w:tc>
      </w:tr>
      <w:tr w:rsidR="00C91EFF">
        <w:trPr>
          <w:jc w:val="center"/>
        </w:trPr>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ind w:left="360"/>
              <w:jc w:val="center"/>
              <w:rPr>
                <w:rFonts w:ascii="Calibri" w:hAnsi="Calibri"/>
                <w:kern w:val="2"/>
                <w:sz w:val="22"/>
                <w:szCs w:val="22"/>
              </w:rPr>
            </w:pPr>
            <w:r>
              <w:rPr>
                <w:rFonts w:ascii="Arial" w:hAnsi="Arial" w:cs="Arial"/>
                <w:sz w:val="20"/>
                <w:lang w:eastAsia="zh-CN"/>
              </w:rPr>
              <w:t>601 &lt; Nº horas ofertadas</w:t>
            </w:r>
            <w:r>
              <w:rPr>
                <w:rFonts w:ascii="Arial" w:hAnsi="Arial" w:cs="Arial"/>
                <w:color w:val="FF0000"/>
                <w:sz w:val="20"/>
                <w:lang w:eastAsia="zh-CN"/>
              </w:rPr>
              <w:t xml:space="preserve"> </w:t>
            </w:r>
            <w:r>
              <w:rPr>
                <w:rFonts w:ascii="Arial" w:hAnsi="Arial" w:cs="Arial"/>
                <w:sz w:val="20"/>
                <w:lang w:eastAsia="zh-CN"/>
              </w:rPr>
              <w:t>≤ 900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jc w:val="center"/>
              <w:rPr>
                <w:rFonts w:ascii="Arial" w:hAnsi="Arial" w:cs="Arial"/>
                <w:sz w:val="20"/>
                <w:lang w:eastAsia="zh-CN"/>
              </w:rPr>
            </w:pPr>
            <w:r>
              <w:rPr>
                <w:rFonts w:ascii="Arial" w:hAnsi="Arial" w:cs="Arial"/>
                <w:sz w:val="20"/>
                <w:lang w:eastAsia="zh-CN"/>
              </w:rPr>
              <w:t>2 puntos</w:t>
            </w:r>
          </w:p>
        </w:tc>
      </w:tr>
      <w:tr w:rsidR="00C91EFF">
        <w:trPr>
          <w:jc w:val="center"/>
        </w:trPr>
        <w:tc>
          <w:tcPr>
            <w:tcW w:w="4804"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ind w:left="360"/>
              <w:jc w:val="center"/>
              <w:rPr>
                <w:rFonts w:ascii="Arial" w:hAnsi="Arial" w:cs="Arial"/>
                <w:sz w:val="20"/>
                <w:lang w:eastAsia="zh-CN"/>
              </w:rPr>
            </w:pPr>
            <w:r>
              <w:rPr>
                <w:rFonts w:ascii="Arial" w:hAnsi="Arial" w:cs="Arial"/>
                <w:sz w:val="20"/>
                <w:lang w:eastAsia="zh-CN"/>
              </w:rPr>
              <w:t>&gt; 901 horas</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C91EFF" w:rsidRDefault="00B6428C">
            <w:pPr>
              <w:widowControl w:val="0"/>
              <w:spacing w:before="100" w:after="100"/>
              <w:jc w:val="center"/>
              <w:rPr>
                <w:rFonts w:ascii="Arial" w:hAnsi="Arial" w:cs="Arial"/>
                <w:sz w:val="20"/>
                <w:lang w:eastAsia="zh-CN"/>
              </w:rPr>
            </w:pPr>
            <w:r>
              <w:rPr>
                <w:rFonts w:ascii="Arial" w:hAnsi="Arial" w:cs="Arial"/>
                <w:sz w:val="20"/>
                <w:lang w:eastAsia="zh-CN"/>
              </w:rPr>
              <w:t>3 puntos</w:t>
            </w:r>
          </w:p>
        </w:tc>
      </w:tr>
    </w:tbl>
    <w:p w:rsidR="00C91EFF" w:rsidRDefault="00C91EFF">
      <w:pPr>
        <w:spacing w:before="100" w:after="100"/>
        <w:jc w:val="both"/>
        <w:rPr>
          <w:rFonts w:ascii="Arial" w:hAnsi="Arial" w:cs="Arial"/>
          <w:sz w:val="20"/>
          <w:lang w:eastAsia="zh-CN"/>
        </w:rPr>
      </w:pPr>
    </w:p>
    <w:p w:rsidR="00C91EFF" w:rsidRDefault="00B6428C">
      <w:pPr>
        <w:spacing w:before="100" w:after="100"/>
        <w:jc w:val="both"/>
        <w:rPr>
          <w:rFonts w:ascii="Arial" w:hAnsi="Arial" w:cs="Arial"/>
          <w:sz w:val="20"/>
          <w:lang w:eastAsia="zh-CN"/>
        </w:rPr>
      </w:pPr>
      <w:r>
        <w:rPr>
          <w:rFonts w:ascii="Arial" w:hAnsi="Arial" w:cs="Arial"/>
          <w:sz w:val="20"/>
          <w:lang w:eastAsia="zh-CN"/>
        </w:rPr>
        <w:t>En caso de prórroga, el número de horas de formación por profesional en las materias indicadas se extenderá al periodo de la prórroga, en cuantía proporcional a la duración de la prórroga.</w:t>
      </w:r>
    </w:p>
    <w:p w:rsidR="00C91EFF" w:rsidRDefault="00C91EFF">
      <w:pPr>
        <w:spacing w:before="100" w:after="100"/>
        <w:jc w:val="both"/>
        <w:rPr>
          <w:rFonts w:ascii="Arial" w:hAnsi="Arial" w:cs="Arial"/>
          <w:sz w:val="20"/>
          <w:lang w:eastAsia="zh-CN"/>
        </w:rPr>
      </w:pPr>
    </w:p>
    <w:p w:rsidR="00C91EFF" w:rsidRDefault="00B6428C">
      <w:pPr>
        <w:spacing w:after="160"/>
        <w:jc w:val="both"/>
        <w:textAlignment w:val="baseline"/>
        <w:rPr>
          <w:rFonts w:ascii="Arial" w:eastAsia="Calibri" w:hAnsi="Arial" w:cs="Arial"/>
          <w:b/>
          <w:sz w:val="20"/>
          <w:lang w:eastAsia="en-US"/>
        </w:rPr>
      </w:pPr>
      <w:r>
        <w:rPr>
          <w:rFonts w:ascii="Arial" w:eastAsia="Calibri" w:hAnsi="Arial" w:cs="Arial"/>
          <w:b/>
          <w:sz w:val="20"/>
          <w:lang w:eastAsia="en-US"/>
        </w:rPr>
        <w:t>2.4. Plan de mantenimiento preventivo y técnico legal: (TODOS LOS LOTES)</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NO AUTOMÁTICO</w:t>
      </w:r>
    </w:p>
    <w:p w:rsidR="00C91EFF" w:rsidRDefault="00B6428C">
      <w:pPr>
        <w:spacing w:after="160"/>
        <w:jc w:val="both"/>
        <w:textAlignment w:val="baseline"/>
        <w:rPr>
          <w:rFonts w:ascii="Arial" w:eastAsia="Calibri" w:hAnsi="Arial" w:cs="Arial"/>
          <w:b/>
          <w:sz w:val="20"/>
          <w:u w:val="single"/>
          <w:lang w:eastAsia="en-US"/>
        </w:rPr>
      </w:pPr>
      <w:r>
        <w:rPr>
          <w:rFonts w:ascii="Arial" w:eastAsia="Calibri" w:hAnsi="Arial" w:cs="Arial"/>
          <w:b/>
          <w:sz w:val="20"/>
          <w:u w:val="single"/>
          <w:lang w:eastAsia="en-US"/>
        </w:rPr>
        <w:t>Puntuación máxima del criterio: 2 puntos</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Los licitadores podrán incluir el plan de mantenimiento que se comprometen a implantar para los distintos equipos e instalaciones de seguridad.</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En todo caso ese Plan y sus gamas estará supeditado al que establezca la Administración.</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lastRenderedPageBreak/>
        <w:t>La valoración de este apartado se efectuará en base a la documentación técnica aportada por los licitadores. Las prestaciones indicadas en el PPT se entenderán como mínimas garantizadas.</w:t>
      </w: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Se valorará los siguientes aspectos:</w:t>
      </w:r>
    </w:p>
    <w:p w:rsidR="00C91EFF" w:rsidRDefault="00C91EFF">
      <w:pPr>
        <w:spacing w:after="160"/>
        <w:jc w:val="both"/>
        <w:textAlignment w:val="baseline"/>
        <w:rPr>
          <w:rFonts w:ascii="Arial" w:eastAsia="Calibri" w:hAnsi="Arial" w:cs="Arial"/>
          <w:sz w:val="20"/>
          <w:lang w:eastAsia="en-US"/>
        </w:rPr>
      </w:pPr>
    </w:p>
    <w:p w:rsidR="00C91EFF" w:rsidRDefault="00B6428C">
      <w:pPr>
        <w:spacing w:after="160"/>
        <w:ind w:left="708"/>
        <w:jc w:val="both"/>
        <w:textAlignment w:val="baseline"/>
        <w:rPr>
          <w:rFonts w:ascii="Arial" w:eastAsia="Calibri" w:hAnsi="Arial" w:cs="Arial"/>
          <w:sz w:val="20"/>
          <w:lang w:eastAsia="en-US"/>
        </w:rPr>
      </w:pPr>
      <w:r>
        <w:rPr>
          <w:rFonts w:ascii="Arial" w:eastAsia="Calibri" w:hAnsi="Arial" w:cs="Arial"/>
          <w:sz w:val="20"/>
          <w:lang w:eastAsia="en-US"/>
        </w:rPr>
        <w:t>- Sistema de gestión del mantenimiento y sistema de telecontrol</w:t>
      </w:r>
    </w:p>
    <w:p w:rsidR="00C91EFF" w:rsidRDefault="00B6428C">
      <w:pPr>
        <w:spacing w:after="160"/>
        <w:ind w:left="708"/>
        <w:jc w:val="both"/>
        <w:textAlignment w:val="baseline"/>
        <w:rPr>
          <w:rFonts w:ascii="Arial" w:eastAsia="Calibri" w:hAnsi="Arial" w:cs="Arial"/>
          <w:sz w:val="20"/>
          <w:lang w:eastAsia="en-US"/>
        </w:rPr>
      </w:pPr>
      <w:r>
        <w:rPr>
          <w:rFonts w:ascii="Arial" w:eastAsia="Calibri" w:hAnsi="Arial" w:cs="Arial"/>
          <w:sz w:val="20"/>
          <w:lang w:eastAsia="en-US"/>
        </w:rPr>
        <w:t>- Programa de mantenimiento, preventivo y técnico legal</w:t>
      </w:r>
    </w:p>
    <w:p w:rsidR="00C91EFF" w:rsidRDefault="00B6428C">
      <w:pPr>
        <w:spacing w:after="160"/>
        <w:ind w:left="708"/>
        <w:jc w:val="both"/>
        <w:textAlignment w:val="baseline"/>
        <w:rPr>
          <w:rFonts w:ascii="Arial" w:eastAsia="Calibri" w:hAnsi="Arial" w:cs="Arial"/>
          <w:sz w:val="20"/>
          <w:lang w:eastAsia="en-US"/>
        </w:rPr>
      </w:pPr>
      <w:r>
        <w:rPr>
          <w:rFonts w:ascii="Arial" w:eastAsia="Calibri" w:hAnsi="Arial" w:cs="Arial"/>
          <w:sz w:val="20"/>
          <w:lang w:eastAsia="en-US"/>
        </w:rPr>
        <w:t>- Tiempos de respuesta.</w:t>
      </w:r>
    </w:p>
    <w:p w:rsidR="00C91EFF" w:rsidRDefault="00B6428C">
      <w:pPr>
        <w:spacing w:after="160"/>
        <w:ind w:left="708"/>
        <w:jc w:val="both"/>
        <w:textAlignment w:val="baseline"/>
        <w:rPr>
          <w:rFonts w:ascii="Arial" w:eastAsia="Calibri" w:hAnsi="Arial" w:cs="Arial"/>
          <w:sz w:val="20"/>
          <w:lang w:eastAsia="en-US"/>
        </w:rPr>
      </w:pPr>
      <w:r>
        <w:rPr>
          <w:rFonts w:ascii="Arial" w:eastAsia="Calibri" w:hAnsi="Arial" w:cs="Arial"/>
          <w:sz w:val="20"/>
          <w:lang w:eastAsia="en-US"/>
        </w:rPr>
        <w:t>- Tiempos de resolución de averías.</w:t>
      </w:r>
    </w:p>
    <w:p w:rsidR="00C91EFF" w:rsidRDefault="00B6428C">
      <w:pPr>
        <w:spacing w:after="160"/>
        <w:ind w:left="708"/>
        <w:jc w:val="both"/>
        <w:textAlignment w:val="baseline"/>
        <w:rPr>
          <w:rFonts w:ascii="Arial" w:eastAsia="Calibri" w:hAnsi="Arial" w:cs="Arial"/>
          <w:sz w:val="20"/>
          <w:lang w:eastAsia="en-US"/>
        </w:rPr>
      </w:pPr>
      <w:r>
        <w:rPr>
          <w:rFonts w:ascii="Arial" w:eastAsia="Calibri" w:hAnsi="Arial" w:cs="Arial"/>
          <w:sz w:val="20"/>
          <w:lang w:eastAsia="en-US"/>
        </w:rPr>
        <w:t>- Plan de formación para el personal de los Centros</w:t>
      </w:r>
    </w:p>
    <w:p w:rsidR="00C91EFF" w:rsidRDefault="00C91EFF">
      <w:pPr>
        <w:spacing w:after="160"/>
        <w:jc w:val="both"/>
        <w:textAlignment w:val="baseline"/>
        <w:rPr>
          <w:rFonts w:ascii="Arial" w:eastAsia="Calibri" w:hAnsi="Arial" w:cs="Arial"/>
          <w:sz w:val="20"/>
          <w:lang w:eastAsia="en-US"/>
        </w:rPr>
      </w:pPr>
    </w:p>
    <w:p w:rsidR="00C91EFF" w:rsidRDefault="00B6428C">
      <w:pPr>
        <w:spacing w:after="160"/>
        <w:jc w:val="both"/>
        <w:textAlignment w:val="baseline"/>
        <w:rPr>
          <w:rFonts w:ascii="Arial" w:eastAsia="Calibri" w:hAnsi="Arial" w:cs="Arial"/>
          <w:sz w:val="20"/>
          <w:lang w:eastAsia="en-US"/>
        </w:rPr>
      </w:pPr>
      <w:r>
        <w:rPr>
          <w:rFonts w:ascii="Arial" w:eastAsia="Calibri" w:hAnsi="Arial" w:cs="Arial"/>
          <w:sz w:val="20"/>
          <w:lang w:eastAsia="en-US"/>
        </w:rPr>
        <w:t>Asignación y justificación de puntuación de este criterio:</w:t>
      </w:r>
    </w:p>
    <w:p w:rsidR="00C91EFF" w:rsidRDefault="00B6428C">
      <w:pPr>
        <w:spacing w:after="160"/>
        <w:ind w:firstLine="708"/>
        <w:jc w:val="both"/>
        <w:textAlignment w:val="baseline"/>
        <w:rPr>
          <w:rFonts w:ascii="Calibri" w:hAnsi="Calibri"/>
          <w:kern w:val="2"/>
          <w:sz w:val="22"/>
          <w:szCs w:val="22"/>
        </w:rPr>
      </w:pPr>
      <w:bookmarkStart w:id="13" w:name="_Hlk63838054"/>
      <w:r>
        <w:rPr>
          <w:rFonts w:ascii="Arial" w:eastAsia="Calibri" w:hAnsi="Arial" w:cs="Arial"/>
          <w:sz w:val="20"/>
          <w:u w:val="single"/>
          <w:lang w:eastAsia="en-US"/>
        </w:rPr>
        <w:t>Básica</w:t>
      </w:r>
      <w:r>
        <w:rPr>
          <w:rFonts w:ascii="Arial" w:eastAsia="Calibri" w:hAnsi="Arial" w:cs="Arial"/>
          <w:sz w:val="20"/>
          <w:lang w:eastAsia="en-US"/>
        </w:rPr>
        <w:t xml:space="preserve"> (0 puntos): La oferta cumple las características técnicas solicitadas en el pliego de prescripciones técnicas. La oferta cumple las características técnicas mínimas solicitadas, sin aportación de ninguna respuesta técnica destacable respecto a los aspectos referenciados. </w:t>
      </w:r>
    </w:p>
    <w:p w:rsidR="00C91EFF" w:rsidRDefault="00B6428C">
      <w:pPr>
        <w:spacing w:after="160"/>
        <w:ind w:firstLine="708"/>
        <w:jc w:val="both"/>
        <w:textAlignment w:val="baseline"/>
        <w:rPr>
          <w:rFonts w:ascii="Calibri" w:hAnsi="Calibri"/>
          <w:kern w:val="2"/>
          <w:sz w:val="22"/>
          <w:szCs w:val="22"/>
        </w:rPr>
      </w:pPr>
      <w:r>
        <w:rPr>
          <w:rFonts w:ascii="Arial" w:eastAsia="Calibri" w:hAnsi="Arial" w:cs="Arial"/>
          <w:sz w:val="20"/>
          <w:u w:val="single"/>
          <w:lang w:eastAsia="en-US"/>
        </w:rPr>
        <w:t>Aceptable</w:t>
      </w:r>
      <w:r>
        <w:rPr>
          <w:rFonts w:ascii="Arial" w:eastAsia="Calibri" w:hAnsi="Arial" w:cs="Arial"/>
          <w:sz w:val="20"/>
          <w:lang w:eastAsia="en-US"/>
        </w:rPr>
        <w:t xml:space="preserve"> (1 punto): La oferta cumple las características técnicas mínimas dando adecuada respuesta a todos los aspectos referenciados en el pliego de prescripciones técnicas. La oferta cumple las características técnicas básicas aportando respuestas técnicas destacables en algunos aspectos relacionados anteriormente. </w:t>
      </w:r>
      <w:proofErr w:type="gramStart"/>
      <w:r>
        <w:rPr>
          <w:rFonts w:ascii="Arial" w:eastAsia="Calibri" w:hAnsi="Arial" w:cs="Arial"/>
          <w:sz w:val="20"/>
          <w:lang w:eastAsia="en-US"/>
        </w:rPr>
        <w:t>Los aspectos a mejorar no</w:t>
      </w:r>
      <w:proofErr w:type="gramEnd"/>
      <w:r>
        <w:rPr>
          <w:rFonts w:ascii="Arial" w:eastAsia="Calibri" w:hAnsi="Arial" w:cs="Arial"/>
          <w:sz w:val="20"/>
          <w:lang w:eastAsia="en-US"/>
        </w:rPr>
        <w:t xml:space="preserve"> podrán ser superior o igual a tres, ni inferior a uno. </w:t>
      </w:r>
    </w:p>
    <w:p w:rsidR="00C91EFF" w:rsidRDefault="00B6428C">
      <w:pPr>
        <w:spacing w:after="160"/>
        <w:ind w:firstLine="708"/>
        <w:jc w:val="both"/>
        <w:textAlignment w:val="baseline"/>
        <w:rPr>
          <w:rFonts w:ascii="Calibri" w:hAnsi="Calibri"/>
          <w:kern w:val="2"/>
          <w:sz w:val="22"/>
          <w:szCs w:val="22"/>
        </w:rPr>
      </w:pPr>
      <w:r>
        <w:rPr>
          <w:rFonts w:ascii="Arial" w:eastAsia="Calibri" w:hAnsi="Arial" w:cs="Arial"/>
          <w:sz w:val="20"/>
          <w:u w:val="single"/>
          <w:lang w:eastAsia="en-US"/>
        </w:rPr>
        <w:t>Bueno</w:t>
      </w:r>
      <w:r>
        <w:rPr>
          <w:rFonts w:ascii="Arial" w:eastAsia="Calibri" w:hAnsi="Arial" w:cs="Arial"/>
          <w:sz w:val="20"/>
          <w:lang w:eastAsia="en-US"/>
        </w:rPr>
        <w:t xml:space="preserve"> (2 puntos): La oferta cumple las características técnicas mínimas exigidas dando adecuada respuesta a todos los aspectos referenciados en el pliego de prescripciones técnicas. Aporta respuestas técnicas destacables en gran número de los aspectos referenciados. </w:t>
      </w:r>
      <w:proofErr w:type="gramStart"/>
      <w:r>
        <w:rPr>
          <w:rFonts w:ascii="Arial" w:eastAsia="Calibri" w:hAnsi="Arial" w:cs="Arial"/>
          <w:sz w:val="20"/>
          <w:lang w:eastAsia="en-US"/>
        </w:rPr>
        <w:t>Los aspectos a mejorar</w:t>
      </w:r>
      <w:proofErr w:type="gramEnd"/>
      <w:r>
        <w:rPr>
          <w:rFonts w:ascii="Arial" w:eastAsia="Calibri" w:hAnsi="Arial" w:cs="Arial"/>
          <w:sz w:val="20"/>
          <w:lang w:eastAsia="en-US"/>
        </w:rPr>
        <w:t xml:space="preserve"> tendrán que ser superior a tres.</w:t>
      </w:r>
      <w:r>
        <w:rPr>
          <w:rFonts w:ascii="Trebuchet MS" w:eastAsia="Calibri" w:hAnsi="Trebuchet MS" w:cs="Trebuchet MS"/>
          <w:sz w:val="22"/>
          <w:szCs w:val="22"/>
          <w:lang w:eastAsia="en-US"/>
        </w:rPr>
        <w:t xml:space="preserve"> </w:t>
      </w:r>
      <w:bookmarkEnd w:id="13"/>
    </w:p>
    <w:p w:rsidR="00C91EFF" w:rsidRDefault="00C91EFF">
      <w:pPr>
        <w:jc w:val="both"/>
        <w:rPr>
          <w:rFonts w:ascii="Trebuchet MS" w:eastAsia="Calibri" w:hAnsi="Trebuchet MS" w:cs="Trebuchet MS"/>
          <w:sz w:val="22"/>
          <w:szCs w:val="22"/>
          <w:lang w:eastAsia="en-US"/>
        </w:rPr>
      </w:pPr>
    </w:p>
    <w:p w:rsidR="00C91EFF" w:rsidRDefault="00B6428C" w:rsidP="00282ED4">
      <w:pPr>
        <w:widowControl w:val="0"/>
        <w:jc w:val="both"/>
        <w:textAlignment w:val="baseline"/>
        <w:rPr>
          <w:rFonts w:ascii="Arial" w:hAnsi="Arial" w:cs="Arial"/>
          <w:sz w:val="20"/>
        </w:rPr>
      </w:pPr>
      <w:bookmarkStart w:id="14" w:name="_Hlk54520663"/>
      <w:r>
        <w:rPr>
          <w:rFonts w:ascii="Arial" w:eastAsia="Arial" w:hAnsi="Arial" w:cs="Arial"/>
          <w:b/>
          <w:kern w:val="2"/>
          <w:sz w:val="20"/>
        </w:rPr>
        <w:t xml:space="preserve">Se establece un umbral mínimo del 50% de la puntuación en el conjunto de los criterios cualitativos para continuar en el proceso selectivo. </w:t>
      </w:r>
      <w:bookmarkEnd w:id="14"/>
    </w:p>
    <w:p w:rsidR="00C91EFF" w:rsidRDefault="00B6428C">
      <w:pPr>
        <w:spacing w:before="278"/>
        <w:ind w:left="-57"/>
        <w:jc w:val="both"/>
        <w:rPr>
          <w:rFonts w:ascii="Arial" w:hAnsi="Arial" w:cs="Arial"/>
          <w:sz w:val="20"/>
        </w:rPr>
      </w:pPr>
      <w:r>
        <w:rPr>
          <w:rFonts w:ascii="Arial" w:hAnsi="Arial" w:cs="Arial"/>
          <w:sz w:val="20"/>
        </w:rPr>
        <w:t>Las ofertas que no alcancen el umbral mínimo fijado en este criterio quedarán excluidas de la licitación.</w:t>
      </w:r>
    </w:p>
    <w:p w:rsidR="00C91EFF" w:rsidRDefault="00B6428C">
      <w:pPr>
        <w:spacing w:before="278"/>
        <w:ind w:left="-57"/>
        <w:jc w:val="both"/>
        <w:rPr>
          <w:rFonts w:ascii="Arial" w:hAnsi="Arial" w:cs="Arial"/>
          <w:sz w:val="20"/>
        </w:rPr>
      </w:pPr>
      <w:r>
        <w:rPr>
          <w:rFonts w:ascii="Arial" w:hAnsi="Arial" w:cs="Arial"/>
          <w:sz w:val="20"/>
        </w:rPr>
        <w:t>Aquellas ofertas que no cumplan las prescripciones técnicas del PPT exigidas se considerarán NO ADECUADAS, y quedarán excluidas de la licitación.</w:t>
      </w:r>
    </w:p>
    <w:p w:rsidR="00C91EFF" w:rsidRDefault="00B6428C">
      <w:pPr>
        <w:spacing w:before="278"/>
        <w:jc w:val="both"/>
        <w:rPr>
          <w:rFonts w:ascii="Arial" w:hAnsi="Arial" w:cs="Arial"/>
          <w:spacing w:val="-2"/>
          <w:sz w:val="20"/>
        </w:rPr>
      </w:pPr>
      <w:r>
        <w:rPr>
          <w:rFonts w:ascii="Arial" w:hAnsi="Arial" w:cs="Arial"/>
          <w:spacing w:val="-2"/>
          <w:sz w:val="20"/>
        </w:rPr>
        <w:t>Se justificarán las valoraciones mediante informe técnico elaborado a instancias de la Mesa de contratación, en virtud de lo previsto en el art. 146.2 b), 150.1 y 157.5 de la LCSP.</w:t>
      </w:r>
    </w:p>
    <w:p w:rsidR="00C91EFF" w:rsidRDefault="00C91EFF">
      <w:pPr>
        <w:spacing w:before="278"/>
        <w:ind w:left="170"/>
        <w:jc w:val="both"/>
        <w:rPr>
          <w:rFonts w:ascii="Arial" w:hAnsi="Arial" w:cs="Arial"/>
          <w:spacing w:val="-2"/>
          <w:sz w:val="20"/>
        </w:rPr>
      </w:pPr>
    </w:p>
    <w:p w:rsidR="00C91EFF" w:rsidRDefault="00B6428C">
      <w:pPr>
        <w:widowControl w:val="0"/>
        <w:jc w:val="both"/>
        <w:rPr>
          <w:rFonts w:ascii="Arial" w:hAnsi="Arial" w:cs="Arial"/>
          <w:b/>
          <w:spacing w:val="-2"/>
          <w:sz w:val="20"/>
          <w:u w:val="single"/>
        </w:rPr>
      </w:pPr>
      <w:r>
        <w:rPr>
          <w:rFonts w:ascii="Arial" w:hAnsi="Arial" w:cs="Arial"/>
          <w:b/>
          <w:spacing w:val="-2"/>
          <w:sz w:val="20"/>
          <w:u w:val="single"/>
        </w:rPr>
        <w:t>CONDICIONES DE PRESENTACIÓN DE LA OFERTA:</w:t>
      </w:r>
    </w:p>
    <w:p w:rsidR="00C91EFF" w:rsidRDefault="00C91EFF">
      <w:pPr>
        <w:widowControl w:val="0"/>
        <w:jc w:val="both"/>
        <w:rPr>
          <w:rFonts w:ascii="Arial" w:hAnsi="Arial" w:cs="Arial"/>
          <w:b/>
          <w:spacing w:val="-2"/>
          <w:sz w:val="20"/>
        </w:rPr>
      </w:pPr>
    </w:p>
    <w:p w:rsidR="00C91EFF" w:rsidRDefault="00B6428C">
      <w:pPr>
        <w:widowControl w:val="0"/>
        <w:jc w:val="both"/>
        <w:outlineLvl w:val="1"/>
        <w:rPr>
          <w:rFonts w:ascii="Arial" w:hAnsi="Arial" w:cs="Arial"/>
          <w:b/>
          <w:sz w:val="20"/>
          <w:u w:val="single"/>
        </w:rPr>
      </w:pPr>
      <w:r>
        <w:rPr>
          <w:rFonts w:ascii="Arial" w:hAnsi="Arial" w:cs="Arial"/>
          <w:b/>
          <w:spacing w:val="-2"/>
          <w:sz w:val="20"/>
        </w:rPr>
        <w:t xml:space="preserve">OFERTA TÉCNICA PARA LOS </w:t>
      </w:r>
      <w:r>
        <w:rPr>
          <w:rFonts w:ascii="Arial" w:hAnsi="Arial" w:cs="Arial"/>
          <w:b/>
          <w:spacing w:val="-2"/>
          <w:sz w:val="20"/>
          <w:u w:val="single"/>
        </w:rPr>
        <w:t>CRITERIOS DE VALORACIÓN NO AUTOMÁTICA</w:t>
      </w:r>
    </w:p>
    <w:p w:rsidR="00C91EFF" w:rsidRDefault="00C91EFF">
      <w:pPr>
        <w:widowControl w:val="0"/>
        <w:jc w:val="both"/>
        <w:rPr>
          <w:rFonts w:ascii="Arial" w:hAnsi="Arial" w:cs="Arial"/>
          <w:sz w:val="20"/>
        </w:rPr>
      </w:pPr>
    </w:p>
    <w:p w:rsidR="00C91EFF" w:rsidRDefault="00B6428C">
      <w:pPr>
        <w:widowControl w:val="0"/>
        <w:ind w:right="-448"/>
        <w:jc w:val="both"/>
        <w:textAlignment w:val="baseline"/>
        <w:rPr>
          <w:rFonts w:ascii="Arial" w:hAnsi="Arial" w:cs="Arial"/>
          <w:kern w:val="2"/>
          <w:sz w:val="20"/>
        </w:rPr>
      </w:pPr>
      <w:r>
        <w:rPr>
          <w:rFonts w:ascii="Arial" w:hAnsi="Arial" w:cs="Arial"/>
          <w:kern w:val="2"/>
          <w:sz w:val="20"/>
        </w:rPr>
        <w:t xml:space="preserve">La oferta técnica debe dar respuesta a los requisitos del pliego de prescripciones técnicas y a los criterios de adjudicación no automáticos que se especifican anteriormente. </w:t>
      </w:r>
    </w:p>
    <w:p w:rsidR="00C91EFF" w:rsidRDefault="00C91EFF">
      <w:pPr>
        <w:widowControl w:val="0"/>
        <w:ind w:right="-448"/>
        <w:jc w:val="both"/>
        <w:textAlignment w:val="baseline"/>
        <w:rPr>
          <w:rFonts w:ascii="Arial" w:hAnsi="Arial" w:cs="Arial"/>
          <w:kern w:val="2"/>
          <w:sz w:val="20"/>
        </w:rPr>
      </w:pPr>
    </w:p>
    <w:p w:rsidR="00C91EFF" w:rsidRDefault="00B6428C">
      <w:pPr>
        <w:widowControl w:val="0"/>
        <w:ind w:right="-448"/>
        <w:jc w:val="both"/>
        <w:textAlignment w:val="baseline"/>
        <w:rPr>
          <w:rFonts w:ascii="Arial" w:hAnsi="Arial" w:cs="Arial"/>
          <w:kern w:val="2"/>
          <w:sz w:val="20"/>
        </w:rPr>
      </w:pPr>
      <w:r>
        <w:rPr>
          <w:rFonts w:ascii="Arial" w:hAnsi="Arial" w:cs="Arial"/>
          <w:kern w:val="2"/>
          <w:sz w:val="20"/>
        </w:rPr>
        <w:t>Aquellas ofertas que no cumplan estos requisitos expuestos en cuanto a las características de la documentación de la oferta técnica presentada no serán valoradas.</w:t>
      </w:r>
    </w:p>
    <w:p w:rsidR="00C91EFF" w:rsidRDefault="00C91EFF">
      <w:pPr>
        <w:widowControl w:val="0"/>
        <w:ind w:right="-448"/>
        <w:jc w:val="both"/>
        <w:textAlignment w:val="baseline"/>
        <w:rPr>
          <w:rFonts w:ascii="Arial" w:hAnsi="Arial" w:cs="Arial"/>
          <w:kern w:val="2"/>
          <w:sz w:val="20"/>
        </w:rPr>
      </w:pPr>
    </w:p>
    <w:p w:rsidR="00C91EFF" w:rsidRDefault="00B6428C">
      <w:pPr>
        <w:widowControl w:val="0"/>
        <w:ind w:right="-448"/>
        <w:jc w:val="both"/>
        <w:textAlignment w:val="baseline"/>
        <w:rPr>
          <w:rFonts w:ascii="Arial" w:hAnsi="Arial" w:cs="Arial"/>
          <w:kern w:val="2"/>
          <w:sz w:val="20"/>
        </w:rPr>
      </w:pPr>
      <w:r>
        <w:rPr>
          <w:rFonts w:ascii="Arial" w:hAnsi="Arial" w:cs="Arial"/>
          <w:kern w:val="2"/>
          <w:sz w:val="20"/>
        </w:rPr>
        <w:t>Asimismo, se deberá tener en cuenta lo establecido en el presente pliego en cuanto a la inclusión en sobres separados y cerrados de la documentación técnica para su valoración conforme a criterios de evaluación automática y de aquella documentación técnica susceptible de valoración conforme a criterios de evaluación no automática.</w:t>
      </w:r>
    </w:p>
    <w:p w:rsidR="00C91EFF" w:rsidRDefault="00C91EFF">
      <w:pPr>
        <w:widowControl w:val="0"/>
        <w:ind w:right="-448"/>
        <w:jc w:val="both"/>
        <w:textAlignment w:val="baseline"/>
        <w:rPr>
          <w:rFonts w:ascii="Arial" w:hAnsi="Arial" w:cs="Arial"/>
          <w:kern w:val="2"/>
          <w:sz w:val="20"/>
        </w:rPr>
      </w:pPr>
    </w:p>
    <w:p w:rsidR="00C91EFF" w:rsidRDefault="00B6428C">
      <w:pPr>
        <w:widowControl w:val="0"/>
        <w:ind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 xml:space="preserve">Contendrá los documentos donde se reflejen las características técnicas de la oferta del licitador, en relación con la realización del objeto del contrato y lo previsto en el PCAP, sus Anexos y el Pliego de Prescripciones Técnicas. </w:t>
      </w:r>
    </w:p>
    <w:p w:rsidR="00C91EFF" w:rsidRDefault="00C91EFF">
      <w:pPr>
        <w:widowControl w:val="0"/>
        <w:ind w:right="-448"/>
        <w:jc w:val="both"/>
        <w:textAlignment w:val="baseline"/>
        <w:rPr>
          <w:rFonts w:ascii="Arial" w:eastAsia="Arial" w:hAnsi="Arial" w:cs="Arial"/>
          <w:sz w:val="20"/>
          <w:szCs w:val="22"/>
          <w:lang w:eastAsia="en-US"/>
        </w:rPr>
      </w:pPr>
    </w:p>
    <w:p w:rsidR="00C91EFF" w:rsidRDefault="00B6428C">
      <w:pPr>
        <w:widowControl w:val="0"/>
        <w:ind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 xml:space="preserve">En concreto, incluirá una </w:t>
      </w:r>
      <w:r>
        <w:rPr>
          <w:rFonts w:ascii="Arial" w:eastAsia="Arial" w:hAnsi="Arial" w:cs="Arial"/>
          <w:b/>
          <w:sz w:val="20"/>
          <w:szCs w:val="22"/>
          <w:lang w:eastAsia="en-US"/>
        </w:rPr>
        <w:t>memoria</w:t>
      </w:r>
      <w:r>
        <w:rPr>
          <w:rFonts w:ascii="Arial" w:eastAsia="Arial" w:hAnsi="Arial" w:cs="Arial"/>
          <w:sz w:val="20"/>
          <w:szCs w:val="22"/>
          <w:lang w:eastAsia="en-US"/>
        </w:rPr>
        <w:t xml:space="preserve"> donde se reflejen las características técnicas de la oferta de la persona licitadora y cualquier otra información que el licitador estime oportuna para hacer más comprensiva su oferta en relación con el servicio objeto de la contratación.</w:t>
      </w:r>
    </w:p>
    <w:p w:rsidR="00C91EFF" w:rsidRDefault="00C91EFF">
      <w:pPr>
        <w:widowControl w:val="0"/>
        <w:ind w:right="-448"/>
        <w:jc w:val="both"/>
        <w:textAlignment w:val="baseline"/>
        <w:rPr>
          <w:rFonts w:ascii="Calibri" w:hAnsi="Calibri"/>
          <w:kern w:val="2"/>
          <w:sz w:val="22"/>
          <w:szCs w:val="22"/>
        </w:rPr>
      </w:pPr>
    </w:p>
    <w:p w:rsidR="00C91EFF" w:rsidRDefault="00B6428C">
      <w:pPr>
        <w:spacing w:after="200" w:line="276" w:lineRule="auto"/>
        <w:ind w:right="-448"/>
        <w:jc w:val="both"/>
        <w:rPr>
          <w:rFonts w:ascii="Arial" w:eastAsia="Arial" w:hAnsi="Arial" w:cs="Arial"/>
          <w:sz w:val="20"/>
          <w:szCs w:val="22"/>
          <w:lang w:eastAsia="en-US"/>
        </w:rPr>
      </w:pPr>
      <w:r>
        <w:rPr>
          <w:rFonts w:ascii="Arial" w:eastAsia="Arial" w:hAnsi="Arial" w:cs="Arial"/>
          <w:sz w:val="20"/>
          <w:szCs w:val="22"/>
          <w:lang w:eastAsia="en-US"/>
        </w:rPr>
        <w:t xml:space="preserve">Los contenidos presentados en las ofertas técnicas deberán facilitar su valoración, centrándose en los compromisos reales adquiridos por el ofertante para el servicio objeto de contratación y ciñéndose de forma precisa a los aspectos valorados como criterios de adjudicación. </w:t>
      </w:r>
    </w:p>
    <w:p w:rsidR="00C91EFF" w:rsidRDefault="00B6428C">
      <w:pPr>
        <w:spacing w:after="200" w:line="276" w:lineRule="auto"/>
        <w:ind w:right="-448"/>
        <w:jc w:val="both"/>
        <w:rPr>
          <w:rFonts w:ascii="Arial" w:eastAsia="Arial" w:hAnsi="Arial" w:cs="Arial"/>
          <w:sz w:val="20"/>
          <w:szCs w:val="22"/>
          <w:lang w:eastAsia="en-US"/>
        </w:rPr>
      </w:pPr>
      <w:r>
        <w:rPr>
          <w:rFonts w:ascii="Arial" w:eastAsia="Arial" w:hAnsi="Arial" w:cs="Arial"/>
          <w:sz w:val="20"/>
          <w:szCs w:val="22"/>
          <w:lang w:eastAsia="en-US"/>
        </w:rPr>
        <w:t>De forma expresa, se deberá evitar la documentación proveniente de otros centros o contratos que no suponga un compromiso cuantificable.</w:t>
      </w:r>
    </w:p>
    <w:p w:rsidR="00C91EFF" w:rsidRDefault="00B6428C">
      <w:pPr>
        <w:widowControl w:val="0"/>
        <w:spacing w:after="200" w:line="276" w:lineRule="auto"/>
        <w:ind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 xml:space="preserve">El sobre electrónico nº2: “Documentación técnica para su valoración conforme a criterios de evaluación no automática” contendrá también: </w:t>
      </w:r>
    </w:p>
    <w:p w:rsidR="00C91EFF" w:rsidRDefault="00B6428C">
      <w:pPr>
        <w:pStyle w:val="Prrafodelista"/>
        <w:widowControl w:val="0"/>
        <w:numPr>
          <w:ilvl w:val="1"/>
          <w:numId w:val="10"/>
        </w:numPr>
        <w:spacing w:after="200" w:line="276" w:lineRule="auto"/>
        <w:ind w:left="709"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 xml:space="preserve">Certificado de visita de las instalaciones, según </w:t>
      </w:r>
      <w:r>
        <w:rPr>
          <w:rFonts w:ascii="Arial" w:eastAsia="Arial" w:hAnsi="Arial" w:cs="Arial"/>
          <w:b/>
          <w:bCs/>
          <w:sz w:val="20"/>
          <w:szCs w:val="22"/>
          <w:lang w:eastAsia="en-US"/>
        </w:rPr>
        <w:t>Anexo 7</w:t>
      </w:r>
      <w:r>
        <w:rPr>
          <w:rFonts w:ascii="Arial" w:eastAsia="Arial" w:hAnsi="Arial" w:cs="Arial"/>
          <w:sz w:val="20"/>
          <w:szCs w:val="22"/>
          <w:lang w:eastAsia="en-US"/>
        </w:rPr>
        <w:t xml:space="preserve"> del P.P.T. </w:t>
      </w:r>
    </w:p>
    <w:p w:rsidR="00C91EFF" w:rsidRDefault="00B6428C">
      <w:pPr>
        <w:widowControl w:val="0"/>
        <w:numPr>
          <w:ilvl w:val="0"/>
          <w:numId w:val="10"/>
        </w:numPr>
        <w:spacing w:after="200" w:line="276" w:lineRule="auto"/>
        <w:ind w:left="709"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Informe técnico del reconocimiento previo de los centros e instalaciones.</w:t>
      </w:r>
    </w:p>
    <w:p w:rsidR="00C91EFF" w:rsidRDefault="00C91EFF">
      <w:pPr>
        <w:widowControl w:val="0"/>
        <w:spacing w:after="200" w:line="276" w:lineRule="auto"/>
        <w:ind w:right="-448"/>
        <w:jc w:val="both"/>
        <w:textAlignment w:val="baseline"/>
        <w:rPr>
          <w:rFonts w:ascii="Arial" w:eastAsia="Arial" w:hAnsi="Arial" w:cs="Arial"/>
          <w:sz w:val="20"/>
          <w:szCs w:val="22"/>
          <w:lang w:eastAsia="en-US"/>
        </w:rPr>
      </w:pPr>
    </w:p>
    <w:p w:rsidR="00C91EFF" w:rsidRDefault="00B6428C">
      <w:pPr>
        <w:widowControl w:val="0"/>
        <w:spacing w:after="200" w:line="276" w:lineRule="auto"/>
        <w:ind w:right="-448"/>
        <w:jc w:val="both"/>
        <w:textAlignment w:val="baseline"/>
        <w:rPr>
          <w:rFonts w:ascii="Arial" w:eastAsia="Arial" w:hAnsi="Arial" w:cs="Arial"/>
          <w:b/>
          <w:sz w:val="20"/>
          <w:szCs w:val="22"/>
          <w:u w:val="single"/>
          <w:lang w:eastAsia="en-US"/>
        </w:rPr>
      </w:pPr>
      <w:r>
        <w:rPr>
          <w:rFonts w:ascii="Arial" w:eastAsia="Arial" w:hAnsi="Arial" w:cs="Arial"/>
          <w:b/>
          <w:sz w:val="20"/>
          <w:szCs w:val="22"/>
          <w:lang w:eastAsia="en-US"/>
        </w:rPr>
        <w:t xml:space="preserve">OFERTA TÉCNICA PARA LOS </w:t>
      </w:r>
      <w:r>
        <w:rPr>
          <w:rFonts w:ascii="Arial" w:eastAsia="Arial" w:hAnsi="Arial" w:cs="Arial"/>
          <w:b/>
          <w:sz w:val="20"/>
          <w:szCs w:val="22"/>
          <w:u w:val="single"/>
          <w:lang w:eastAsia="en-US"/>
        </w:rPr>
        <w:t>CRITERIOS DE VALORACIÓN AUTOMÁTICA</w:t>
      </w:r>
    </w:p>
    <w:p w:rsidR="00C91EFF" w:rsidRDefault="00B6428C">
      <w:pPr>
        <w:widowControl w:val="0"/>
        <w:spacing w:after="200" w:line="276" w:lineRule="auto"/>
        <w:ind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El sobre electrónico nº3: “Documentación económica y documentación técnica para su valoración conforme a criterios de evaluación automática”, contendrá, adicionalmente a la documentación indicada en el PCAP:</w:t>
      </w:r>
    </w:p>
    <w:p w:rsidR="00C91EFF" w:rsidRDefault="00B6428C">
      <w:pPr>
        <w:widowControl w:val="0"/>
        <w:spacing w:after="200" w:line="276" w:lineRule="auto"/>
        <w:ind w:right="-448"/>
        <w:jc w:val="both"/>
        <w:textAlignment w:val="baseline"/>
        <w:rPr>
          <w:rFonts w:ascii="Arial" w:eastAsia="Arial" w:hAnsi="Arial" w:cs="Arial"/>
          <w:sz w:val="20"/>
          <w:szCs w:val="22"/>
          <w:lang w:eastAsia="en-US"/>
        </w:rPr>
      </w:pPr>
      <w:r>
        <w:rPr>
          <w:rFonts w:ascii="Arial" w:eastAsia="Arial" w:hAnsi="Arial" w:cs="Arial"/>
          <w:sz w:val="20"/>
          <w:szCs w:val="22"/>
          <w:lang w:eastAsia="en-US"/>
        </w:rPr>
        <w:t>•</w:t>
      </w:r>
      <w:r>
        <w:rPr>
          <w:rFonts w:ascii="Arial" w:eastAsia="Arial" w:hAnsi="Arial" w:cs="Arial"/>
          <w:sz w:val="20"/>
          <w:szCs w:val="22"/>
          <w:lang w:eastAsia="en-US"/>
        </w:rPr>
        <w:tab/>
        <w:t xml:space="preserve">Documentación técnica con sello y firma, y compromiso según </w:t>
      </w:r>
      <w:r>
        <w:rPr>
          <w:rFonts w:ascii="Arial" w:eastAsia="Arial" w:hAnsi="Arial" w:cs="Arial"/>
          <w:b/>
          <w:sz w:val="20"/>
          <w:szCs w:val="22"/>
          <w:lang w:eastAsia="en-US"/>
        </w:rPr>
        <w:t>Anexo VI</w:t>
      </w:r>
      <w:r w:rsidR="00DC33A1">
        <w:rPr>
          <w:rFonts w:ascii="Arial" w:eastAsia="Arial" w:hAnsi="Arial" w:cs="Arial"/>
          <w:sz w:val="20"/>
          <w:szCs w:val="22"/>
          <w:lang w:eastAsia="en-US"/>
        </w:rPr>
        <w:t>-B</w:t>
      </w:r>
      <w:bookmarkStart w:id="15" w:name="_GoBack"/>
      <w:bookmarkEnd w:id="15"/>
    </w:p>
    <w:sectPr w:rsidR="00C91EFF">
      <w:headerReference w:type="default" r:id="rId8"/>
      <w:footerReference w:type="default" r:id="rId9"/>
      <w:pgSz w:w="11906" w:h="16838"/>
      <w:pgMar w:top="1843" w:right="1416" w:bottom="1276" w:left="1418" w:header="720" w:footer="4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31A" w:rsidRDefault="00B6428C">
      <w:r>
        <w:separator/>
      </w:r>
    </w:p>
  </w:endnote>
  <w:endnote w:type="continuationSeparator" w:id="0">
    <w:p w:rsidR="0061631A" w:rsidRDefault="00B6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sGotTDem">
    <w:altName w:val="Cambria"/>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NewsGotT">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charset w:val="00"/>
    <w:family w:val="swiss"/>
    <w:pitch w:val="variable"/>
    <w:sig w:usb0="00000003" w:usb1="00000000" w:usb2="00000000" w:usb3="00000000" w:csb0="00000001" w:csb1="00000000"/>
  </w:font>
  <w:font w:name="NewsGotTMed">
    <w:altName w:val="Cambria"/>
    <w:charset w:val="00"/>
    <w:family w:val="roman"/>
    <w:pitch w:val="variable"/>
  </w:font>
  <w:font w:name="NewsGotTBold">
    <w:charset w:val="00"/>
    <w:family w:val="swiss"/>
    <w:pitch w:val="variable"/>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600002F7" w:usb1="02000001" w:usb2="00000000" w:usb3="00000000" w:csb0="0000019F" w:csb1="00000000"/>
  </w:font>
  <w:font w:name="Noto Sans HK">
    <w:panose1 w:val="020B0500000000000000"/>
    <w:charset w:val="80"/>
    <w:family w:val="swiss"/>
    <w:notTrueType/>
    <w:pitch w:val="variable"/>
    <w:sig w:usb0="20000287" w:usb1="2ADF3C10" w:usb2="00000016" w:usb3="00000000" w:csb0="00120107" w:csb1="00000000"/>
  </w:font>
  <w:font w:name="Source Sans Pro Semibold">
    <w:panose1 w:val="020B0603030403020204"/>
    <w:charset w:val="00"/>
    <w:family w:val="swiss"/>
    <w:pitch w:val="variable"/>
    <w:sig w:usb0="600002F7" w:usb1="02000001" w:usb2="00000000" w:usb3="00000000" w:csb0="0000019F" w:csb1="00000000"/>
  </w:font>
  <w:font w:name="Noto Sans HK Medium">
    <w:panose1 w:val="020B06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EFF" w:rsidRDefault="00B6428C">
    <w:pPr>
      <w:pStyle w:val="Piedepgina"/>
      <w:jc w:val="center"/>
      <w:rPr>
        <w:rFonts w:ascii="NewsGotT" w:hAnsi="NewsGotT"/>
        <w:sz w:val="22"/>
        <w:szCs w:val="22"/>
      </w:rPr>
    </w:pPr>
    <w:r>
      <w:rPr>
        <w:rFonts w:ascii="NewsGotT" w:hAnsi="NewsGotT"/>
        <w:sz w:val="22"/>
        <w:szCs w:val="22"/>
      </w:rPr>
      <w:fldChar w:fldCharType="begin"/>
    </w:r>
    <w:r>
      <w:rPr>
        <w:rFonts w:ascii="NewsGotT" w:hAnsi="NewsGotT"/>
        <w:sz w:val="22"/>
        <w:szCs w:val="22"/>
      </w:rPr>
      <w:instrText xml:space="preserve"> PAGE </w:instrText>
    </w:r>
    <w:r>
      <w:rPr>
        <w:rFonts w:ascii="NewsGotT" w:hAnsi="NewsGotT"/>
        <w:sz w:val="22"/>
        <w:szCs w:val="22"/>
      </w:rPr>
      <w:fldChar w:fldCharType="separate"/>
    </w:r>
    <w:r>
      <w:rPr>
        <w:rFonts w:ascii="NewsGotT" w:hAnsi="NewsGotT"/>
        <w:noProof/>
        <w:sz w:val="22"/>
        <w:szCs w:val="22"/>
      </w:rPr>
      <w:t>9</w:t>
    </w:r>
    <w:r>
      <w:rPr>
        <w:rFonts w:ascii="NewsGotT" w:hAnsi="NewsGotT"/>
        <w:sz w:val="22"/>
        <w:szCs w:val="22"/>
      </w:rPr>
      <w:fldChar w:fldCharType="end"/>
    </w:r>
  </w:p>
  <w:p w:rsidR="00C91EFF" w:rsidRDefault="00C91EF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31A" w:rsidRDefault="00B6428C">
      <w:r>
        <w:separator/>
      </w:r>
    </w:p>
  </w:footnote>
  <w:footnote w:type="continuationSeparator" w:id="0">
    <w:p w:rsidR="0061631A" w:rsidRDefault="00B6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EFF" w:rsidRDefault="00B6428C">
    <w:pPr>
      <w:pStyle w:val="Encabezado"/>
    </w:pPr>
    <w:r>
      <w:rPr>
        <w:noProof/>
      </w:rPr>
      <mc:AlternateContent>
        <mc:Choice Requires="wps">
          <w:drawing>
            <wp:anchor distT="0" distB="368300" distL="114300" distR="114300" simplePos="0" relativeHeight="18" behindDoc="1" locked="0" layoutInCell="0" allowOverlap="1" wp14:anchorId="1C199332">
              <wp:simplePos x="0" y="0"/>
              <wp:positionH relativeFrom="margin">
                <wp:posOffset>3321685</wp:posOffset>
              </wp:positionH>
              <wp:positionV relativeFrom="page">
                <wp:posOffset>209550</wp:posOffset>
              </wp:positionV>
              <wp:extent cx="2266950" cy="791845"/>
              <wp:effectExtent l="0" t="0" r="0" b="8255"/>
              <wp:wrapTopAndBottom/>
              <wp:docPr id="1" name="Cuadro de texto 3"/>
              <wp:cNvGraphicFramePr/>
              <a:graphic xmlns:a="http://schemas.openxmlformats.org/drawingml/2006/main">
                <a:graphicData uri="http://schemas.microsoft.com/office/word/2010/wordprocessingShape">
                  <wps:wsp>
                    <wps:cNvSpPr/>
                    <wps:spPr>
                      <a:xfrm>
                        <a:off x="0" y="0"/>
                        <a:ext cx="2266920" cy="792000"/>
                      </a:xfrm>
                      <a:prstGeom prst="rect">
                        <a:avLst/>
                      </a:prstGeom>
                      <a:noFill/>
                      <a:ln w="6350">
                        <a:noFill/>
                      </a:ln>
                    </wps:spPr>
                    <wps:style>
                      <a:lnRef idx="0">
                        <a:scrgbClr r="0" g="0" b="0"/>
                      </a:lnRef>
                      <a:fillRef idx="0">
                        <a:scrgbClr r="0" g="0" b="0"/>
                      </a:fillRef>
                      <a:effectRef idx="0">
                        <a:scrgbClr r="0" g="0" b="0"/>
                      </a:effectRef>
                      <a:fontRef idx="minor"/>
                    </wps:style>
                    <wps:txbx>
                      <w:txbxContent>
                        <w:p w:rsidR="00C91EFF" w:rsidRDefault="00B6428C">
                          <w:pPr>
                            <w:pStyle w:val="Cabecera-Consejera"/>
                          </w:pPr>
                          <w:r>
                            <w:t>Consejería de Salud y Familias</w:t>
                          </w:r>
                        </w:p>
                        <w:p w:rsidR="00C91EFF" w:rsidRDefault="00B6428C">
                          <w:pPr>
                            <w:pStyle w:val="Cabecera-Centrodirectivo"/>
                          </w:pPr>
                          <w:r>
                            <w:t xml:space="preserve">Servicio Andaluz de Salud </w:t>
                          </w:r>
                        </w:p>
                      </w:txbxContent>
                    </wps:txbx>
                    <wps:bodyPr lIns="0" tIns="0" rIns="0" bIns="0" anchor="ctr">
                      <a:prstTxWarp prst="textNoShape">
                        <a:avLst/>
                      </a:prstTxWarp>
                      <a:noAutofit/>
                    </wps:bodyPr>
                  </wps:wsp>
                </a:graphicData>
              </a:graphic>
            </wp:anchor>
          </w:drawing>
        </mc:Choice>
        <mc:Fallback>
          <w:pict>
            <v:rect w14:anchorId="1C199332" id="Cuadro de texto 3" o:spid="_x0000_s1026" style="position:absolute;margin-left:261.55pt;margin-top:16.5pt;width:178.5pt;height:62.35pt;z-index:-503316462;visibility:visible;mso-wrap-style:square;mso-wrap-distance-left:9pt;mso-wrap-distance-top:0;mso-wrap-distance-right:9pt;mso-wrap-distance-bottom:29pt;mso-position-horizontal:absolute;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" o:allowincell="f" filled="f" stroked="f" strokeweight=".5pt">
              <v:textbox inset="0,0,0,0">
                <w:txbxContent>
                  <w:p w:rsidR="00C91EFF" w:rsidRDefault="00B6428C">
                    <w:pPr>
                      <w:pStyle w:val="Cabecera-Consejera"/>
                    </w:pPr>
                    <w:r>
                      <w:t>Consejería de Salud y Familias</w:t>
                    </w:r>
                  </w:p>
                  <w:p w:rsidR="00C91EFF" w:rsidRDefault="00B6428C">
                    <w:pPr>
                      <w:pStyle w:val="Cabecera-Centrodirectivo"/>
                    </w:pPr>
                    <w:r>
                      <w:t xml:space="preserve">Servicio Andaluz de Salud </w:t>
                    </w:r>
                  </w:p>
                </w:txbxContent>
              </v:textbox>
              <w10:wrap type="topAndBottom" anchorx="margin" anchory="page"/>
            </v:rect>
          </w:pict>
        </mc:Fallback>
      </mc:AlternateContent>
    </w:r>
    <w:r>
      <w:rPr>
        <w:noProof/>
      </w:rPr>
      <w:drawing>
        <wp:anchor distT="0" distB="0" distL="0" distR="114300" simplePos="0" relativeHeight="28" behindDoc="0" locked="0" layoutInCell="0" allowOverlap="1">
          <wp:simplePos x="0" y="0"/>
          <wp:positionH relativeFrom="column">
            <wp:posOffset>123825</wp:posOffset>
          </wp:positionH>
          <wp:positionV relativeFrom="paragraph">
            <wp:posOffset>-282575</wp:posOffset>
          </wp:positionV>
          <wp:extent cx="1447800" cy="1000125"/>
          <wp:effectExtent l="0" t="0" r="0" b="0"/>
          <wp:wrapThrough wrapText="bothSides">
            <wp:wrapPolygon edited="0">
              <wp:start x="9372" y="0"/>
              <wp:lineTo x="5964" y="13161"/>
              <wp:lineTo x="1699" y="16855"/>
              <wp:lineTo x="-8" y="18915"/>
              <wp:lineTo x="-8" y="21380"/>
              <wp:lineTo x="21311" y="21380"/>
              <wp:lineTo x="21311" y="18915"/>
              <wp:lineTo x="19035" y="16032"/>
              <wp:lineTo x="15338" y="13161"/>
              <wp:lineTo x="12499" y="0"/>
              <wp:lineTo x="9372" y="0"/>
            </wp:wrapPolygon>
          </wp:wrapThrough>
          <wp:docPr id="3"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laceholder"/>
                  <pic:cNvPicPr>
                    <a:picLocks noChangeAspect="1" noChangeArrowheads="1"/>
                  </pic:cNvPicPr>
                </pic:nvPicPr>
                <pic:blipFill>
                  <a:blip r:embed="rId1"/>
                  <a:stretch>
                    <a:fillRect/>
                  </a:stretch>
                </pic:blipFill>
                <pic:spPr bwMode="auto">
                  <a:xfrm>
                    <a:off x="0" y="0"/>
                    <a:ext cx="1447800" cy="1000125"/>
                  </a:xfrm>
                  <a:prstGeom prst="rect">
                    <a:avLst/>
                  </a:prstGeom>
                </pic:spPr>
              </pic:pic>
            </a:graphicData>
          </a:graphic>
        </wp:anchor>
      </w:drawing>
    </w:r>
  </w:p>
  <w:p w:rsidR="00C91EFF" w:rsidRDefault="00C91EF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28D"/>
    <w:multiLevelType w:val="multilevel"/>
    <w:tmpl w:val="11ECDAEA"/>
    <w:lvl w:ilvl="0">
      <w:start w:val="1"/>
      <w:numFmt w:val="decimal"/>
      <w:pStyle w:val="EstiloTtulo2NewsGotTDemSubrayadoSinMaysculas"/>
      <w:suff w:val="nothing"/>
      <w:lvlText w:val="%1."/>
      <w:lvlJc w:val="left"/>
      <w:pPr>
        <w:tabs>
          <w:tab w:val="num" w:pos="0"/>
        </w:tabs>
        <w:ind w:left="340" w:hanging="340"/>
      </w:pPr>
      <w:rPr>
        <w:rFonts w:ascii="NewsGotTDem" w:hAnsi="NewsGotTDem"/>
        <w:color w:val="auto"/>
        <w:sz w:val="24"/>
        <w:szCs w:val="24"/>
        <w:u w:val="single"/>
      </w:rPr>
    </w:lvl>
    <w:lvl w:ilvl="1">
      <w:start w:val="1"/>
      <w:numFmt w:val="decimal"/>
      <w:lvlText w:val="%1.%2"/>
      <w:lvlJc w:val="left"/>
      <w:pPr>
        <w:tabs>
          <w:tab w:val="num" w:pos="0"/>
        </w:tabs>
        <w:ind w:left="0" w:firstLine="0"/>
      </w:pPr>
      <w:rPr>
        <w:rFonts w:ascii="NewsGotT" w:hAnsi="NewsGotT"/>
        <w:b/>
        <w:i w:val="0"/>
        <w:sz w:val="24"/>
        <w:szCs w:val="24"/>
        <w:u w:val="single"/>
      </w:rPr>
    </w:lvl>
    <w:lvl w:ilvl="2">
      <w:start w:val="1"/>
      <w:numFmt w:val="decimal"/>
      <w:lvlText w:val="%1.%2.%3"/>
      <w:lvlJc w:val="left"/>
      <w:pPr>
        <w:tabs>
          <w:tab w:val="num" w:pos="0"/>
        </w:tabs>
        <w:ind w:left="0" w:firstLine="0"/>
      </w:pPr>
      <w:rPr>
        <w:rFonts w:ascii="NewsGotT" w:hAnsi="NewsGotT"/>
        <w:sz w:val="24"/>
        <w:szCs w:val="24"/>
        <w:u w:val="single"/>
      </w:rPr>
    </w:lvl>
    <w:lvl w:ilvl="3">
      <w:start w:val="1"/>
      <w:numFmt w:val="decimal"/>
      <w:lvlText w:val="%1.%2.%3.%4"/>
      <w:lvlJc w:val="left"/>
      <w:pPr>
        <w:tabs>
          <w:tab w:val="num" w:pos="0"/>
        </w:tabs>
        <w:ind w:left="0" w:firstLine="0"/>
      </w:pPr>
      <w:rPr>
        <w:rFonts w:ascii="NewsGotT" w:hAnsi="NewsGotT"/>
        <w:sz w:val="24"/>
        <w:szCs w:val="24"/>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14010F0A"/>
    <w:multiLevelType w:val="multilevel"/>
    <w:tmpl w:val="4F8AC43E"/>
    <w:lvl w:ilvl="0">
      <w:start w:val="1"/>
      <w:numFmt w:val="bullet"/>
      <w:pStyle w:val="Listaconvietas"/>
      <w:lvlText w:val=""/>
      <w:lvlJc w:val="left"/>
      <w:pPr>
        <w:tabs>
          <w:tab w:val="num" w:pos="720"/>
        </w:tabs>
        <w:ind w:left="720" w:hanging="360"/>
      </w:pPr>
      <w:rPr>
        <w:rFonts w:ascii="Wingdings" w:hAnsi="Wingdings" w:cs="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95E67C0"/>
    <w:multiLevelType w:val="multilevel"/>
    <w:tmpl w:val="1BCE2C0E"/>
    <w:lvl w:ilvl="0">
      <w:start w:val="1"/>
      <w:numFmt w:val="bullet"/>
      <w:lvlText w:val=""/>
      <w:lvlJc w:val="left"/>
      <w:pPr>
        <w:tabs>
          <w:tab w:val="num" w:pos="0"/>
        </w:tabs>
        <w:ind w:left="1080" w:hanging="360"/>
      </w:pPr>
      <w:rPr>
        <w:rFonts w:ascii="Symbol" w:hAnsi="Symbol" w:cs="Symbol" w:hint="default"/>
      </w:rPr>
    </w:lvl>
    <w:lvl w:ilvl="1">
      <w:start w:val="1"/>
      <w:numFmt w:val="bullet"/>
      <w:lvlText w:val=""/>
      <w:lvlJc w:val="left"/>
      <w:pPr>
        <w:tabs>
          <w:tab w:val="num" w:pos="0"/>
        </w:tabs>
        <w:ind w:left="1800" w:hanging="360"/>
      </w:pPr>
      <w:rPr>
        <w:rFonts w:ascii="Symbol" w:hAnsi="Symbol" w:cs="Symbol"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265F4961"/>
    <w:multiLevelType w:val="multilevel"/>
    <w:tmpl w:val="97F07D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29C46FB7"/>
    <w:multiLevelType w:val="multilevel"/>
    <w:tmpl w:val="3E8E4A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3EF278F6"/>
    <w:multiLevelType w:val="multilevel"/>
    <w:tmpl w:val="7B2480C0"/>
    <w:lvl w:ilvl="0">
      <w:start w:val="1"/>
      <w:numFmt w:val="decimal"/>
      <w:suff w:val="nothing"/>
      <w:lvlText w:val="%1."/>
      <w:lvlJc w:val="left"/>
      <w:pPr>
        <w:tabs>
          <w:tab w:val="num" w:pos="0"/>
        </w:tabs>
        <w:ind w:left="340" w:hanging="340"/>
      </w:pPr>
      <w:rPr>
        <w:rFonts w:ascii="NewsGotTDem" w:hAnsi="NewsGotTDem"/>
        <w:color w:val="auto"/>
        <w:sz w:val="24"/>
        <w:szCs w:val="24"/>
        <w:u w:val="single"/>
      </w:rPr>
    </w:lvl>
    <w:lvl w:ilvl="1">
      <w:start w:val="1"/>
      <w:numFmt w:val="decimal"/>
      <w:lvlText w:val="%1.%2"/>
      <w:lvlJc w:val="left"/>
      <w:pPr>
        <w:tabs>
          <w:tab w:val="num" w:pos="0"/>
        </w:tabs>
        <w:ind w:left="0" w:firstLine="0"/>
      </w:pPr>
      <w:rPr>
        <w:rFonts w:ascii="NewsGotT" w:hAnsi="NewsGotT"/>
        <w:b/>
        <w:i w:val="0"/>
        <w:sz w:val="24"/>
        <w:szCs w:val="24"/>
        <w:u w:val="single"/>
      </w:rPr>
    </w:lvl>
    <w:lvl w:ilvl="2">
      <w:start w:val="1"/>
      <w:numFmt w:val="decimal"/>
      <w:lvlText w:val="%1.%2.%3"/>
      <w:lvlJc w:val="left"/>
      <w:pPr>
        <w:tabs>
          <w:tab w:val="num" w:pos="0"/>
        </w:tabs>
        <w:ind w:left="0" w:firstLine="0"/>
      </w:pPr>
      <w:rPr>
        <w:rFonts w:ascii="NewsGotT" w:hAnsi="NewsGotT"/>
        <w:sz w:val="24"/>
        <w:szCs w:val="24"/>
        <w:u w:val="single"/>
      </w:rPr>
    </w:lvl>
    <w:lvl w:ilvl="3">
      <w:start w:val="1"/>
      <w:numFmt w:val="decimal"/>
      <w:lvlText w:val="%1.%2.%3.%4"/>
      <w:lvlJc w:val="left"/>
      <w:pPr>
        <w:tabs>
          <w:tab w:val="num" w:pos="0"/>
        </w:tabs>
        <w:ind w:left="0" w:firstLine="0"/>
      </w:pPr>
      <w:rPr>
        <w:rFonts w:ascii="NewsGotT" w:hAnsi="NewsGotT"/>
        <w:sz w:val="24"/>
        <w:szCs w:val="24"/>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pStyle w:val="TITULO1"/>
      <w:lvlText w:val="%1.%2.%3.%4.%5.%6.%7.%8.%9"/>
      <w:lvlJc w:val="left"/>
      <w:pPr>
        <w:tabs>
          <w:tab w:val="num" w:pos="0"/>
        </w:tabs>
        <w:ind w:left="0" w:firstLine="0"/>
      </w:pPr>
    </w:lvl>
  </w:abstractNum>
  <w:abstractNum w:abstractNumId="6" w15:restartNumberingAfterBreak="0">
    <w:nsid w:val="405B32B2"/>
    <w:multiLevelType w:val="multilevel"/>
    <w:tmpl w:val="3FB8D7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59F67E4A"/>
    <w:multiLevelType w:val="multilevel"/>
    <w:tmpl w:val="685CFF20"/>
    <w:lvl w:ilvl="0">
      <w:start w:val="1"/>
      <w:numFmt w:val="decimal"/>
      <w:pStyle w:val="EstiloTtulo1NewsGotT"/>
      <w:suff w:val="space"/>
      <w:lvlText w:val="%1."/>
      <w:lvlJc w:val="left"/>
      <w:pPr>
        <w:tabs>
          <w:tab w:val="num" w:pos="0"/>
        </w:tabs>
        <w:ind w:left="0" w:firstLine="0"/>
      </w:pPr>
      <w:rPr>
        <w:rFonts w:ascii="NewsGotTDem" w:hAnsi="NewsGotTDem"/>
        <w:b/>
        <w:i w:val="0"/>
        <w:sz w:val="24"/>
        <w:szCs w:val="24"/>
        <w:u w:val="single"/>
      </w:rPr>
    </w:lvl>
    <w:lvl w:ilvl="1">
      <w:start w:val="1"/>
      <w:numFmt w:val="decimal"/>
      <w:lvlText w:val="%1.%2."/>
      <w:lvlJc w:val="left"/>
      <w:pPr>
        <w:tabs>
          <w:tab w:val="num" w:pos="639"/>
        </w:tabs>
        <w:ind w:left="639" w:hanging="432"/>
      </w:pPr>
      <w:rPr>
        <w:rFonts w:ascii="NewsGotT" w:hAnsi="NewsGotT"/>
        <w:b/>
        <w:i w:val="0"/>
        <w:sz w:val="24"/>
      </w:rPr>
    </w:lvl>
    <w:lvl w:ilvl="2">
      <w:start w:val="1"/>
      <w:numFmt w:val="decimal"/>
      <w:lvlText w:val="%1.%2.%3."/>
      <w:lvlJc w:val="left"/>
      <w:pPr>
        <w:tabs>
          <w:tab w:val="num" w:pos="1004"/>
        </w:tabs>
        <w:ind w:left="567" w:hanging="283"/>
      </w:pPr>
      <w:rPr>
        <w:rFonts w:ascii="NewsGotT" w:hAnsi="NewsGotT"/>
        <w:sz w:val="24"/>
      </w:rPr>
    </w:lvl>
    <w:lvl w:ilvl="3">
      <w:start w:val="1"/>
      <w:numFmt w:val="decimal"/>
      <w:lvlText w:val="%1.%2.%3.%4."/>
      <w:lvlJc w:val="left"/>
      <w:pPr>
        <w:tabs>
          <w:tab w:val="num" w:pos="2007"/>
        </w:tabs>
        <w:ind w:left="1575" w:hanging="648"/>
      </w:pPr>
    </w:lvl>
    <w:lvl w:ilvl="4">
      <w:start w:val="1"/>
      <w:numFmt w:val="decimal"/>
      <w:lvlText w:val="%1.%2.%3.%4.%5."/>
      <w:lvlJc w:val="left"/>
      <w:pPr>
        <w:tabs>
          <w:tab w:val="num" w:pos="2367"/>
        </w:tabs>
        <w:ind w:left="2079" w:hanging="792"/>
      </w:pPr>
      <w:rPr>
        <w:rFonts w:ascii="NewsGotT" w:hAnsi="NewsGotT"/>
        <w:b w:val="0"/>
        <w:i/>
        <w:sz w:val="24"/>
      </w:rPr>
    </w:lvl>
    <w:lvl w:ilvl="5">
      <w:start w:val="1"/>
      <w:numFmt w:val="decimal"/>
      <w:lvlText w:val="%1.%2.%3.%4.%5.%6."/>
      <w:lvlJc w:val="left"/>
      <w:pPr>
        <w:tabs>
          <w:tab w:val="num" w:pos="2727"/>
        </w:tabs>
        <w:ind w:left="2583" w:hanging="936"/>
      </w:pPr>
      <w:rPr>
        <w:rFonts w:ascii="NewsGotT" w:hAnsi="NewsGotT"/>
        <w:b/>
        <w:i/>
        <w:sz w:val="24"/>
      </w:rPr>
    </w:lvl>
    <w:lvl w:ilvl="6">
      <w:start w:val="1"/>
      <w:numFmt w:val="decimal"/>
      <w:lvlText w:val="%1.%2.%3.%4.%5.%6.%7."/>
      <w:lvlJc w:val="left"/>
      <w:pPr>
        <w:tabs>
          <w:tab w:val="num" w:pos="3447"/>
        </w:tabs>
        <w:ind w:left="3087" w:hanging="1080"/>
      </w:pPr>
    </w:lvl>
    <w:lvl w:ilvl="7">
      <w:start w:val="1"/>
      <w:numFmt w:val="decimal"/>
      <w:lvlText w:val="%1.%2.%3.%4.%5.%6.%7.%8."/>
      <w:lvlJc w:val="left"/>
      <w:pPr>
        <w:tabs>
          <w:tab w:val="num" w:pos="3807"/>
        </w:tabs>
        <w:ind w:left="3591" w:hanging="1224"/>
      </w:pPr>
    </w:lvl>
    <w:lvl w:ilvl="8">
      <w:start w:val="1"/>
      <w:numFmt w:val="decimal"/>
      <w:lvlText w:val="%1.%2.%3.%4.%5.%6.%7.%8.%9."/>
      <w:lvlJc w:val="left"/>
      <w:pPr>
        <w:tabs>
          <w:tab w:val="num" w:pos="4527"/>
        </w:tabs>
        <w:ind w:left="4167" w:hanging="1440"/>
      </w:pPr>
    </w:lvl>
  </w:abstractNum>
  <w:abstractNum w:abstractNumId="8" w15:restartNumberingAfterBreak="0">
    <w:nsid w:val="65F52C37"/>
    <w:multiLevelType w:val="multilevel"/>
    <w:tmpl w:val="C93220D0"/>
    <w:lvl w:ilvl="0">
      <w:start w:val="1"/>
      <w:numFmt w:val="bullet"/>
      <w:pStyle w:val="EsquemaLetra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E045457"/>
    <w:multiLevelType w:val="multilevel"/>
    <w:tmpl w:val="C27CA7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795A4696"/>
    <w:multiLevelType w:val="multilevel"/>
    <w:tmpl w:val="698463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5"/>
  </w:num>
  <w:num w:numId="2">
    <w:abstractNumId w:val="7"/>
  </w:num>
  <w:num w:numId="3">
    <w:abstractNumId w:val="1"/>
  </w:num>
  <w:num w:numId="4">
    <w:abstractNumId w:val="0"/>
  </w:num>
  <w:num w:numId="5">
    <w:abstractNumId w:val="8"/>
  </w:num>
  <w:num w:numId="6">
    <w:abstractNumId w:val="4"/>
  </w:num>
  <w:num w:numId="7">
    <w:abstractNumId w:val="10"/>
  </w:num>
  <w:num w:numId="8">
    <w:abstractNumId w:val="3"/>
  </w:num>
  <w:num w:numId="9">
    <w:abstractNumId w:val="9"/>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FF"/>
    <w:rsid w:val="00282ED4"/>
    <w:rsid w:val="0061631A"/>
    <w:rsid w:val="00B6428C"/>
    <w:rsid w:val="00C91EFF"/>
    <w:rsid w:val="00DC33A1"/>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3F8BA"/>
  <w15:docId w15:val="{F4D6B818-B43A-4FD6-A90D-0E29C548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Ttulo1">
    <w:name w:val="heading 1"/>
    <w:basedOn w:val="Normal"/>
    <w:next w:val="Normal"/>
    <w:qFormat/>
    <w:rsid w:val="00F94F5F"/>
    <w:pPr>
      <w:keepNext/>
      <w:spacing w:before="240" w:after="60"/>
      <w:outlineLvl w:val="0"/>
    </w:pPr>
    <w:rPr>
      <w:rFonts w:ascii="Arial" w:hAnsi="Arial" w:cs="Arial"/>
      <w:b/>
      <w:bCs/>
      <w:kern w:val="2"/>
      <w:sz w:val="32"/>
      <w:szCs w:val="32"/>
    </w:rPr>
  </w:style>
  <w:style w:type="paragraph" w:styleId="Ttulo2">
    <w:name w:val="heading 2"/>
    <w:basedOn w:val="Normal"/>
    <w:next w:val="Normal"/>
    <w:qFormat/>
    <w:rsid w:val="0011770D"/>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semiHidden/>
    <w:unhideWhenUsed/>
    <w:qFormat/>
    <w:rsid w:val="00F667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Ttulo4">
    <w:name w:val="heading 4"/>
    <w:basedOn w:val="Normal"/>
    <w:next w:val="Normal"/>
    <w:link w:val="Ttulo4Car"/>
    <w:qFormat/>
    <w:pPr>
      <w:keepNext/>
      <w:outlineLvl w:val="3"/>
    </w:pPr>
    <w:rPr>
      <w:rFonts w:ascii="Arial" w:hAnsi="Arial"/>
      <w:b/>
      <w:sz w:val="16"/>
      <w:lang w:val="es-ES_tradnl" w:eastAsia="x-none"/>
    </w:rPr>
  </w:style>
  <w:style w:type="paragraph" w:styleId="Ttulo5">
    <w:name w:val="heading 5"/>
    <w:basedOn w:val="Normal"/>
    <w:next w:val="Normal"/>
    <w:link w:val="Ttulo5Car"/>
    <w:uiPriority w:val="9"/>
    <w:qFormat/>
    <w:rsid w:val="00F66770"/>
    <w:pPr>
      <w:keepNext/>
      <w:keepLines/>
      <w:tabs>
        <w:tab w:val="left" w:pos="1150"/>
      </w:tabs>
      <w:spacing w:before="200" w:after="120"/>
      <w:ind w:left="1150" w:hanging="1008"/>
      <w:jc w:val="both"/>
      <w:outlineLvl w:val="4"/>
    </w:pPr>
    <w:rPr>
      <w:rFonts w:ascii="NewsGotT" w:hAnsi="NewsGotT" w:cs="Arial"/>
      <w:szCs w:val="24"/>
      <w:lang w:val="es-ES_tradnl"/>
    </w:rPr>
  </w:style>
  <w:style w:type="paragraph" w:styleId="Ttulo7">
    <w:name w:val="heading 7"/>
    <w:basedOn w:val="Normal"/>
    <w:next w:val="Normal"/>
    <w:link w:val="Ttulo7Car"/>
    <w:qFormat/>
    <w:rsid w:val="00F66770"/>
    <w:pPr>
      <w:widowControl w:val="0"/>
      <w:tabs>
        <w:tab w:val="left" w:pos="1296"/>
      </w:tabs>
      <w:spacing w:before="240" w:after="60"/>
      <w:ind w:left="1296" w:hanging="1296"/>
      <w:jc w:val="both"/>
      <w:outlineLvl w:val="6"/>
    </w:pPr>
    <w:rPr>
      <w:rFonts w:ascii="NewsGotT" w:hAnsi="NewsGotT"/>
      <w:szCs w:val="24"/>
    </w:rPr>
  </w:style>
  <w:style w:type="paragraph" w:styleId="Ttulo8">
    <w:name w:val="heading 8"/>
    <w:basedOn w:val="Normal"/>
    <w:next w:val="Normal"/>
    <w:link w:val="Ttulo8Car"/>
    <w:qFormat/>
    <w:rsid w:val="00F66770"/>
    <w:pPr>
      <w:widowControl w:val="0"/>
      <w:tabs>
        <w:tab w:val="left" w:pos="1440"/>
      </w:tabs>
      <w:spacing w:before="240" w:after="60"/>
      <w:ind w:left="1440" w:hanging="1440"/>
      <w:jc w:val="both"/>
      <w:outlineLvl w:val="7"/>
    </w:pPr>
    <w:rPr>
      <w:rFonts w:ascii="NewsGotT" w:hAnsi="NewsGotT"/>
      <w:i/>
      <w:iCs/>
      <w:szCs w:val="24"/>
    </w:rPr>
  </w:style>
  <w:style w:type="paragraph" w:styleId="Ttulo9">
    <w:name w:val="heading 9"/>
    <w:basedOn w:val="Normal"/>
    <w:next w:val="Normal"/>
    <w:link w:val="Ttulo9Car"/>
    <w:qFormat/>
    <w:rsid w:val="00F66770"/>
    <w:pPr>
      <w:widowControl w:val="0"/>
      <w:tabs>
        <w:tab w:val="left" w:pos="1584"/>
      </w:tabs>
      <w:spacing w:before="240" w:after="60"/>
      <w:ind w:left="1584" w:hanging="1584"/>
      <w:jc w:val="both"/>
      <w:outlineLvl w:val="8"/>
    </w:pPr>
    <w:rPr>
      <w:rFonts w:ascii="NewsGotT" w:hAnsi="NewsGotT"/>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uiPriority w:val="22"/>
    <w:qFormat/>
    <w:rPr>
      <w:rFonts w:ascii="NewsGotTDem" w:hAnsi="NewsGotTDem" w:cs="Arial"/>
      <w:b w:val="0"/>
      <w:bCs w:val="0"/>
      <w:kern w:val="2"/>
      <w:sz w:val="24"/>
      <w:u w:val="single"/>
      <w:lang w:val="en-GB" w:eastAsia="en-US" w:bidi="ar-SA"/>
    </w:rPr>
  </w:style>
  <w:style w:type="character" w:customStyle="1" w:styleId="TextocomentarioCar">
    <w:name w:val="Texto comentario Car"/>
    <w:link w:val="Textocomentario"/>
    <w:uiPriority w:val="99"/>
    <w:qFormat/>
    <w:rsid w:val="00F53594"/>
    <w:rPr>
      <w:rFonts w:ascii="Arial" w:hAnsi="Arial" w:cs="Arial"/>
      <w:b/>
      <w:bCs/>
      <w:kern w:val="2"/>
      <w:sz w:val="24"/>
      <w:u w:val="single"/>
      <w:lang w:val="es-ES" w:eastAsia="en-US" w:bidi="ar-SA"/>
    </w:rPr>
  </w:style>
  <w:style w:type="character" w:styleId="Refdecomentario">
    <w:name w:val="annotation reference"/>
    <w:uiPriority w:val="99"/>
    <w:qFormat/>
    <w:rsid w:val="00F53594"/>
    <w:rPr>
      <w:rFonts w:ascii="NewsGotTDem" w:hAnsi="NewsGotTDem" w:cs="Arial"/>
      <w:b/>
      <w:bCs/>
      <w:kern w:val="2"/>
      <w:sz w:val="18"/>
      <w:szCs w:val="18"/>
      <w:u w:val="single"/>
      <w:lang w:val="en-GB" w:eastAsia="en-US" w:bidi="ar-SA"/>
    </w:rPr>
  </w:style>
  <w:style w:type="character" w:customStyle="1" w:styleId="Destacado">
    <w:name w:val="Destacado"/>
    <w:qFormat/>
    <w:rsid w:val="00A5258F"/>
    <w:rPr>
      <w:rFonts w:ascii="Arial" w:hAnsi="Arial"/>
      <w:b/>
      <w:spacing w:val="-10"/>
      <w:sz w:val="18"/>
    </w:rPr>
  </w:style>
  <w:style w:type="character" w:customStyle="1" w:styleId="Ttulo4Car">
    <w:name w:val="Título 4 Car"/>
    <w:link w:val="Ttulo4"/>
    <w:qFormat/>
    <w:locked/>
    <w:rsid w:val="008C22EA"/>
    <w:rPr>
      <w:rFonts w:ascii="Arial" w:hAnsi="Arial"/>
      <w:b/>
      <w:sz w:val="16"/>
      <w:lang w:val="es-ES_tradnl"/>
    </w:rPr>
  </w:style>
  <w:style w:type="character" w:customStyle="1" w:styleId="PiedepginaCar">
    <w:name w:val="Pie de página Car"/>
    <w:link w:val="Piedepgina"/>
    <w:uiPriority w:val="99"/>
    <w:qFormat/>
    <w:rsid w:val="004114A8"/>
    <w:rPr>
      <w:sz w:val="24"/>
    </w:rPr>
  </w:style>
  <w:style w:type="character" w:customStyle="1" w:styleId="Ttulo5Car">
    <w:name w:val="Título 5 Car"/>
    <w:basedOn w:val="Fuentedeprrafopredeter"/>
    <w:link w:val="Ttulo5"/>
    <w:uiPriority w:val="9"/>
    <w:qFormat/>
    <w:rsid w:val="00F66770"/>
    <w:rPr>
      <w:rFonts w:ascii="NewsGotT" w:hAnsi="NewsGotT" w:cs="Arial"/>
      <w:sz w:val="24"/>
      <w:szCs w:val="24"/>
      <w:lang w:val="es-ES_tradnl"/>
    </w:rPr>
  </w:style>
  <w:style w:type="character" w:customStyle="1" w:styleId="Ttulo7Car">
    <w:name w:val="Título 7 Car"/>
    <w:basedOn w:val="Fuentedeprrafopredeter"/>
    <w:link w:val="Ttulo7"/>
    <w:qFormat/>
    <w:rsid w:val="00F66770"/>
    <w:rPr>
      <w:rFonts w:ascii="NewsGotT" w:hAnsi="NewsGotT"/>
      <w:sz w:val="24"/>
      <w:szCs w:val="24"/>
    </w:rPr>
  </w:style>
  <w:style w:type="character" w:customStyle="1" w:styleId="Ttulo8Car">
    <w:name w:val="Título 8 Car"/>
    <w:basedOn w:val="Fuentedeprrafopredeter"/>
    <w:link w:val="Ttulo8"/>
    <w:qFormat/>
    <w:rsid w:val="00F66770"/>
    <w:rPr>
      <w:rFonts w:ascii="NewsGotT" w:hAnsi="NewsGotT"/>
      <w:i/>
      <w:iCs/>
      <w:sz w:val="24"/>
      <w:szCs w:val="24"/>
    </w:rPr>
  </w:style>
  <w:style w:type="character" w:customStyle="1" w:styleId="Ttulo9Car">
    <w:name w:val="Título 9 Car"/>
    <w:basedOn w:val="Fuentedeprrafopredeter"/>
    <w:link w:val="Ttulo9"/>
    <w:qFormat/>
    <w:rsid w:val="00F66770"/>
    <w:rPr>
      <w:rFonts w:ascii="NewsGotT" w:hAnsi="NewsGotT"/>
      <w:sz w:val="24"/>
      <w:szCs w:val="22"/>
    </w:rPr>
  </w:style>
  <w:style w:type="character" w:customStyle="1" w:styleId="Titulo3Car">
    <w:name w:val="Titulo 3 Car"/>
    <w:basedOn w:val="Fuentedeprrafopredeter"/>
    <w:link w:val="Titulo3"/>
    <w:qFormat/>
    <w:rsid w:val="00F66770"/>
    <w:rPr>
      <w:rFonts w:ascii="NewsGotT" w:hAnsi="NewsGotT"/>
      <w:sz w:val="24"/>
      <w:szCs w:val="24"/>
      <w:u w:val="single"/>
      <w:shd w:val="clear" w:color="auto" w:fill="FFFFFF"/>
      <w:lang w:val="es-ES_tradnl" w:eastAsia="he-IL" w:bidi="he-IL"/>
    </w:rPr>
  </w:style>
  <w:style w:type="character" w:customStyle="1" w:styleId="Ttulo3Car">
    <w:name w:val="Título 3 Car"/>
    <w:basedOn w:val="Fuentedeprrafopredeter"/>
    <w:link w:val="Ttulo3"/>
    <w:semiHidden/>
    <w:qFormat/>
    <w:rsid w:val="00F66770"/>
    <w:rPr>
      <w:rFonts w:asciiTheme="majorHAnsi" w:eastAsiaTheme="majorEastAsia" w:hAnsiTheme="majorHAnsi" w:cstheme="majorBidi"/>
      <w:color w:val="1F3763" w:themeColor="accent1" w:themeShade="7F"/>
      <w:sz w:val="24"/>
      <w:szCs w:val="24"/>
    </w:rPr>
  </w:style>
  <w:style w:type="character" w:customStyle="1" w:styleId="AsuntodelcomentarioCar">
    <w:name w:val="Asunto del comentario Car"/>
    <w:basedOn w:val="TextocomentarioCar"/>
    <w:link w:val="Asuntodelcomentario"/>
    <w:qFormat/>
    <w:rsid w:val="006B45DA"/>
    <w:rPr>
      <w:rFonts w:ascii="Arial" w:hAnsi="Arial" w:cs="Arial"/>
      <w:b/>
      <w:bCs/>
      <w:kern w:val="2"/>
      <w:sz w:val="24"/>
      <w:u w:val="single"/>
      <w:lang w:val="es-ES" w:eastAsia="en-US" w:bidi="ar-SA"/>
    </w:rPr>
  </w:style>
  <w:style w:type="paragraph" w:styleId="Ttulo">
    <w:name w:val="Title"/>
    <w:basedOn w:val="Normal"/>
    <w:next w:val="Textoindependiente"/>
    <w:qFormat/>
    <w:rsid w:val="00F94F5F"/>
    <w:pPr>
      <w:spacing w:before="240" w:after="60"/>
      <w:jc w:val="center"/>
      <w:outlineLvl w:val="0"/>
    </w:pPr>
    <w:rPr>
      <w:rFonts w:ascii="Arial" w:hAnsi="Arial" w:cs="Arial"/>
      <w:b/>
      <w:bCs/>
      <w:kern w:val="2"/>
      <w:sz w:val="32"/>
      <w:szCs w:val="32"/>
    </w:rPr>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styleId="NormalWeb">
    <w:name w:val="Normal (Web)"/>
    <w:basedOn w:val="Normal"/>
    <w:qFormat/>
    <w:pPr>
      <w:spacing w:before="100" w:after="100"/>
    </w:pPr>
  </w:style>
  <w:style w:type="paragraph" w:styleId="Sangra2detindependiente">
    <w:name w:val="Body Text Indent 2"/>
    <w:basedOn w:val="Normal"/>
    <w:qFormat/>
    <w:pPr>
      <w:ind w:left="708"/>
      <w:jc w:val="both"/>
    </w:pPr>
    <w:rPr>
      <w:rFonts w:ascii="NewsGotTMed" w:hAnsi="NewsGotTMed"/>
    </w:rPr>
  </w:style>
  <w:style w:type="paragraph" w:customStyle="1" w:styleId="TtuloPrincipal">
    <w:name w:val="Título Principal"/>
    <w:basedOn w:val="Ttulo"/>
    <w:qFormat/>
    <w:rsid w:val="00F94F5F"/>
    <w:pPr>
      <w:pBdr>
        <w:top w:val="single" w:sz="4" w:space="1" w:color="000000"/>
        <w:left w:val="single" w:sz="4" w:space="4" w:color="000000"/>
        <w:bottom w:val="single" w:sz="4" w:space="1" w:color="000000"/>
        <w:right w:val="single" w:sz="4" w:space="4" w:color="000000"/>
      </w:pBdr>
    </w:pPr>
    <w:rPr>
      <w:rFonts w:ascii="NewsGotTBold" w:hAnsi="NewsGotTBold" w:cs="Times New Roman"/>
      <w:caps/>
    </w:rPr>
  </w:style>
  <w:style w:type="paragraph" w:styleId="Textocomentario">
    <w:name w:val="annotation text"/>
    <w:basedOn w:val="Normal"/>
    <w:link w:val="TextocomentarioCar"/>
    <w:uiPriority w:val="99"/>
    <w:qFormat/>
    <w:rsid w:val="00F53594"/>
    <w:pPr>
      <w:widowControl w:val="0"/>
      <w:jc w:val="both"/>
    </w:pPr>
    <w:rPr>
      <w:rFonts w:ascii="Arial" w:hAnsi="Arial" w:cs="Arial"/>
      <w:b/>
      <w:bCs/>
      <w:kern w:val="2"/>
      <w:u w:val="single"/>
      <w:lang w:eastAsia="en-US"/>
    </w:rPr>
  </w:style>
  <w:style w:type="paragraph" w:customStyle="1" w:styleId="TITULO1">
    <w:name w:val="TITULO 1"/>
    <w:basedOn w:val="Normal"/>
    <w:qFormat/>
    <w:rsid w:val="00F94F5F"/>
    <w:pPr>
      <w:numPr>
        <w:ilvl w:val="8"/>
        <w:numId w:val="1"/>
      </w:numPr>
      <w:spacing w:before="120" w:after="120"/>
    </w:pPr>
    <w:rPr>
      <w:rFonts w:ascii="Arial" w:hAnsi="Arial"/>
      <w:sz w:val="20"/>
      <w:szCs w:val="24"/>
      <w:lang w:val="es-ES_tradnl" w:eastAsia="es-ES_tradnl"/>
    </w:rPr>
  </w:style>
  <w:style w:type="paragraph" w:customStyle="1" w:styleId="EstiloTtulo1NewsGotT">
    <w:name w:val="Estilo Título 1 + NewsGotT"/>
    <w:basedOn w:val="Ttulo1"/>
    <w:qFormat/>
    <w:rsid w:val="00AA25E7"/>
    <w:pPr>
      <w:numPr>
        <w:numId w:val="2"/>
      </w:numPr>
      <w:spacing w:before="0" w:after="0"/>
      <w:jc w:val="both"/>
    </w:pPr>
    <w:rPr>
      <w:rFonts w:ascii="NewsGotTDem" w:hAnsi="NewsGotTDem" w:cs="Times New Roman"/>
      <w:caps/>
      <w:sz w:val="24"/>
      <w:szCs w:val="24"/>
      <w:u w:val="single"/>
    </w:rPr>
  </w:style>
  <w:style w:type="paragraph" w:styleId="Listaconvietas">
    <w:name w:val="List Bullet"/>
    <w:basedOn w:val="Normal"/>
    <w:autoRedefine/>
    <w:qFormat/>
    <w:rsid w:val="00EA3E6D"/>
    <w:pPr>
      <w:numPr>
        <w:numId w:val="3"/>
      </w:numPr>
      <w:spacing w:before="120"/>
      <w:jc w:val="both"/>
    </w:pPr>
    <w:rPr>
      <w:rFonts w:ascii="NewsGotTMed" w:hAnsi="NewsGotTMed"/>
    </w:rPr>
  </w:style>
  <w:style w:type="paragraph" w:customStyle="1" w:styleId="Sangra2detindependiente1">
    <w:name w:val="Sangría 2 de t. independiente1"/>
    <w:basedOn w:val="Normal"/>
    <w:qFormat/>
    <w:rsid w:val="00A5258F"/>
    <w:pPr>
      <w:widowControl w:val="0"/>
      <w:ind w:firstLine="1440"/>
      <w:jc w:val="both"/>
    </w:pPr>
    <w:rPr>
      <w:rFonts w:ascii="Courier New" w:hAnsi="Courier New"/>
      <w:lang w:val="es-ES_tradnl" w:eastAsia="ar-SA"/>
    </w:rPr>
  </w:style>
  <w:style w:type="paragraph" w:customStyle="1" w:styleId="EstiloTtulo2NewsGotTDemSubrayadoSinMaysculas">
    <w:name w:val="Estilo Título 2 + NewsGotTDem Subrayado Sin Mayúsculas"/>
    <w:basedOn w:val="Ttulo2"/>
    <w:autoRedefine/>
    <w:qFormat/>
    <w:rsid w:val="0011770D"/>
    <w:pPr>
      <w:numPr>
        <w:numId w:val="4"/>
      </w:numPr>
      <w:tabs>
        <w:tab w:val="left" w:pos="0"/>
      </w:tabs>
      <w:ind w:left="0" w:firstLine="0"/>
      <w:jc w:val="both"/>
    </w:pPr>
    <w:rPr>
      <w:rFonts w:ascii="NewsGotTDem" w:hAnsi="NewsGotTDem" w:cs="Times New Roman"/>
      <w:bCs w:val="0"/>
      <w:caps/>
      <w:sz w:val="24"/>
    </w:rPr>
  </w:style>
  <w:style w:type="paragraph" w:styleId="TDC1">
    <w:name w:val="toc 1"/>
    <w:basedOn w:val="Normal"/>
    <w:next w:val="Normal"/>
    <w:semiHidden/>
    <w:rsid w:val="0011770D"/>
    <w:pPr>
      <w:widowControl w:val="0"/>
      <w:tabs>
        <w:tab w:val="left" w:pos="480"/>
        <w:tab w:val="right" w:leader="dot" w:pos="9214"/>
      </w:tabs>
    </w:pPr>
    <w:rPr>
      <w:rFonts w:ascii="NewsGotT" w:hAnsi="NewsGotT"/>
      <w:bCs/>
      <w:szCs w:val="24"/>
    </w:rPr>
  </w:style>
  <w:style w:type="paragraph" w:customStyle="1" w:styleId="Cabeceraypie">
    <w:name w:val="Cabecera y pie"/>
    <w:basedOn w:val="Normal"/>
    <w:qFormat/>
  </w:style>
  <w:style w:type="paragraph" w:styleId="Encabezado">
    <w:name w:val="header"/>
    <w:basedOn w:val="Normal"/>
    <w:rsid w:val="00E95AF7"/>
    <w:pPr>
      <w:tabs>
        <w:tab w:val="center" w:pos="4252"/>
        <w:tab w:val="right" w:pos="8504"/>
      </w:tabs>
    </w:pPr>
  </w:style>
  <w:style w:type="paragraph" w:styleId="Piedepgina">
    <w:name w:val="footer"/>
    <w:basedOn w:val="Normal"/>
    <w:link w:val="PiedepginaCar"/>
    <w:uiPriority w:val="99"/>
    <w:rsid w:val="00E95AF7"/>
    <w:pPr>
      <w:tabs>
        <w:tab w:val="center" w:pos="4252"/>
        <w:tab w:val="right" w:pos="8504"/>
      </w:tabs>
    </w:pPr>
  </w:style>
  <w:style w:type="paragraph" w:styleId="Textodeglobo">
    <w:name w:val="Balloon Text"/>
    <w:basedOn w:val="Normal"/>
    <w:semiHidden/>
    <w:qFormat/>
    <w:rsid w:val="009A1C82"/>
    <w:rPr>
      <w:rFonts w:ascii="Tahoma" w:hAnsi="Tahoma" w:cs="Tahoma"/>
      <w:sz w:val="16"/>
      <w:szCs w:val="16"/>
    </w:rPr>
  </w:style>
  <w:style w:type="paragraph" w:customStyle="1" w:styleId="msolistparagraph0">
    <w:name w:val="msolistparagraph"/>
    <w:basedOn w:val="Normal"/>
    <w:qFormat/>
    <w:rsid w:val="005431D3"/>
    <w:pPr>
      <w:ind w:left="720"/>
    </w:pPr>
    <w:rPr>
      <w:szCs w:val="24"/>
    </w:rPr>
  </w:style>
  <w:style w:type="paragraph" w:customStyle="1" w:styleId="EsquemaLetras">
    <w:name w:val="Esquema Letras"/>
    <w:basedOn w:val="Normal"/>
    <w:autoRedefine/>
    <w:qFormat/>
    <w:rsid w:val="00E20CBC"/>
    <w:pPr>
      <w:keepNext/>
      <w:widowControl w:val="0"/>
      <w:numPr>
        <w:numId w:val="5"/>
      </w:numPr>
      <w:jc w:val="both"/>
    </w:pPr>
    <w:rPr>
      <w:rFonts w:ascii="NewsGotT" w:hAnsi="NewsGotT"/>
    </w:rPr>
  </w:style>
  <w:style w:type="paragraph" w:styleId="Prrafodelista">
    <w:name w:val="List Paragraph"/>
    <w:basedOn w:val="Normal"/>
    <w:uiPriority w:val="34"/>
    <w:qFormat/>
    <w:rsid w:val="008C22EA"/>
    <w:pPr>
      <w:ind w:left="708"/>
    </w:pPr>
  </w:style>
  <w:style w:type="paragraph" w:customStyle="1" w:styleId="Titulo3">
    <w:name w:val="Titulo 3"/>
    <w:basedOn w:val="Ttulo3"/>
    <w:link w:val="Titulo3Car"/>
    <w:qFormat/>
    <w:rsid w:val="00F66770"/>
    <w:pPr>
      <w:keepNext w:val="0"/>
      <w:keepLines w:val="0"/>
      <w:widowControl w:val="0"/>
      <w:shd w:val="clear" w:color="auto" w:fill="FFFFFF"/>
      <w:tabs>
        <w:tab w:val="left" w:pos="1146"/>
      </w:tabs>
      <w:spacing w:before="0"/>
      <w:ind w:left="1146" w:hanging="720"/>
      <w:jc w:val="both"/>
    </w:pPr>
    <w:rPr>
      <w:rFonts w:ascii="NewsGotT" w:eastAsia="Times New Roman" w:hAnsi="NewsGotT" w:cs="Times New Roman"/>
      <w:color w:val="auto"/>
      <w:u w:val="single"/>
      <w:lang w:val="es-ES_tradnl" w:eastAsia="he-IL" w:bidi="he-IL"/>
    </w:rPr>
  </w:style>
  <w:style w:type="paragraph" w:customStyle="1" w:styleId="Titulo4">
    <w:name w:val="Titulo 4"/>
    <w:basedOn w:val="Titulo3"/>
    <w:qFormat/>
    <w:rsid w:val="00F66770"/>
    <w:pPr>
      <w:tabs>
        <w:tab w:val="clear" w:pos="1146"/>
        <w:tab w:val="left" w:pos="360"/>
        <w:tab w:val="left" w:pos="1276"/>
      </w:tabs>
      <w:ind w:left="360" w:hanging="438"/>
    </w:pPr>
    <w:rPr>
      <w:i/>
      <w:u w:val="none"/>
    </w:rPr>
  </w:style>
  <w:style w:type="paragraph" w:styleId="Asuntodelcomentario">
    <w:name w:val="annotation subject"/>
    <w:basedOn w:val="Textocomentario"/>
    <w:next w:val="Textocomentario"/>
    <w:link w:val="AsuntodelcomentarioCar"/>
    <w:qFormat/>
    <w:rsid w:val="006B45DA"/>
    <w:pPr>
      <w:widowControl/>
      <w:jc w:val="left"/>
    </w:pPr>
    <w:rPr>
      <w:rFonts w:ascii="Times New Roman" w:hAnsi="Times New Roman" w:cs="Times New Roman"/>
      <w:kern w:val="0"/>
      <w:sz w:val="20"/>
      <w:u w:val="none"/>
      <w:lang w:eastAsia="es-ES"/>
    </w:rPr>
  </w:style>
  <w:style w:type="paragraph" w:customStyle="1" w:styleId="Cabecera-Centrodirectivo">
    <w:name w:val="Cabecera - Centro directivo"/>
    <w:autoRedefine/>
    <w:qFormat/>
    <w:rsid w:val="000A7950"/>
    <w:pPr>
      <w:spacing w:before="40"/>
    </w:pPr>
    <w:rPr>
      <w:rFonts w:ascii="Source Sans Pro" w:eastAsia="Noto Sans HK" w:hAnsi="Source Sans Pro"/>
      <w:sz w:val="18"/>
      <w:szCs w:val="16"/>
      <w:lang w:eastAsia="en-US"/>
    </w:rPr>
  </w:style>
  <w:style w:type="paragraph" w:customStyle="1" w:styleId="Cabecera-Consejera">
    <w:name w:val="Cabecera - Consejería"/>
    <w:next w:val="Cabecera-Centrodirectivo"/>
    <w:autoRedefine/>
    <w:qFormat/>
    <w:rsid w:val="000A7950"/>
    <w:rPr>
      <w:rFonts w:ascii="Source Sans Pro Semibold" w:eastAsia="Noto Sans HK Medium" w:hAnsi="Source Sans Pro Semibold"/>
      <w:sz w:val="18"/>
      <w:szCs w:val="17"/>
      <w:lang w:eastAsia="en-US"/>
    </w:rPr>
  </w:style>
  <w:style w:type="paragraph" w:customStyle="1" w:styleId="Contenidodelmarco">
    <w:name w:val="Contenido del marco"/>
    <w:basedOn w:val="Normal"/>
    <w:qFormat/>
  </w:style>
  <w:style w:type="table" w:styleId="Tablaconcuadrcula">
    <w:name w:val="Table Grid"/>
    <w:basedOn w:val="Tablanormal"/>
    <w:rsid w:val="001B52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A4D0-40B7-4720-BB03-1D6CC687E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9</Pages>
  <Words>3236</Words>
  <Characters>17800</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JUSTIFICACION DE LOS CRITERIOS A TENER EN CONSIDERACION PARA ADJUDICAR EL CONTRATO “ ……(identificarlo con su objeto: “Servicios TIC para …” “Suministro de …</vt:lpstr>
    </vt:vector>
  </TitlesOfParts>
  <Company>SAS</Company>
  <LinksUpToDate>false</LinksUpToDate>
  <CharactersWithSpaces>20995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JUSTIFICACION DE LOS CRITERIOS A TENER EN CONSIDERACION PARA ADJUDICAR EL CONTRATO “ ……(identificarlo con su objeto: “Servicios TIC para …” “Suministro de …</dc:title>
  <dc:subject/>
  <dc:creator>Jacobo Espinosa de los Monteros</dc:creator>
  <dc:description/>
  <cp:lastModifiedBy>Montero Gracia, Dolores</cp:lastModifiedBy>
  <cp:revision>73</cp:revision>
  <cp:lastPrinted>2019-01-28T11:24:00Z</cp:lastPrinted>
  <dcterms:created xsi:type="dcterms:W3CDTF">2019-11-26T16:57:00Z</dcterms:created>
  <dcterms:modified xsi:type="dcterms:W3CDTF">2023-07-24T10:40:00Z</dcterms:modified>
  <dc:language>es-ES</dc:language>
</cp:coreProperties>
</file>